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B6" w:rsidRPr="0068530E" w:rsidRDefault="00E82C75" w:rsidP="00D46CB6">
      <w:pPr>
        <w:jc w:val="center"/>
        <w:rPr>
          <w:b/>
        </w:rPr>
      </w:pPr>
      <w:r>
        <w:rPr>
          <w:b/>
        </w:rPr>
        <w:t xml:space="preserve"> </w:t>
      </w:r>
      <w:r w:rsidR="00D46CB6" w:rsidRPr="0068530E">
        <w:rPr>
          <w:b/>
        </w:rPr>
        <w:t>Federal Prison System</w:t>
      </w:r>
    </w:p>
    <w:p w:rsidR="00D46CB6" w:rsidRPr="0068530E" w:rsidRDefault="00D46CB6" w:rsidP="00D46CB6">
      <w:pPr>
        <w:jc w:val="center"/>
        <w:rPr>
          <w:b/>
        </w:rPr>
      </w:pPr>
      <w:r w:rsidRPr="0068530E">
        <w:rPr>
          <w:b/>
        </w:rPr>
        <w:t>Buildings and Facilities</w:t>
      </w:r>
    </w:p>
    <w:p w:rsidR="00D46CB6" w:rsidRPr="0068530E" w:rsidRDefault="00D46CB6" w:rsidP="00D46CB6">
      <w:pPr>
        <w:jc w:val="center"/>
        <w:rPr>
          <w:b/>
        </w:rPr>
      </w:pPr>
      <w:r w:rsidRPr="0068530E">
        <w:rPr>
          <w:b/>
        </w:rPr>
        <w:t>Table of Contents</w:t>
      </w:r>
    </w:p>
    <w:p w:rsidR="00D46CB6" w:rsidRDefault="00D46CB6" w:rsidP="00D46CB6">
      <w:pPr>
        <w:ind w:right="-1440"/>
        <w:rPr>
          <w:b/>
        </w:rPr>
      </w:pPr>
      <w:r>
        <w:tab/>
      </w:r>
      <w:r>
        <w:tab/>
      </w:r>
      <w:r>
        <w:tab/>
      </w:r>
      <w:r>
        <w:tab/>
      </w:r>
      <w:r>
        <w:tab/>
      </w:r>
      <w:r>
        <w:tab/>
      </w:r>
      <w:r>
        <w:tab/>
      </w:r>
      <w:r>
        <w:tab/>
      </w:r>
      <w:r>
        <w:tab/>
      </w:r>
      <w:r>
        <w:tab/>
        <w:t xml:space="preserve">         </w:t>
      </w:r>
      <w:r>
        <w:tab/>
      </w:r>
      <w:r w:rsidRPr="0068530E">
        <w:rPr>
          <w:b/>
        </w:rPr>
        <w:t>Page No.</w:t>
      </w:r>
    </w:p>
    <w:p w:rsidR="00150A73" w:rsidRDefault="00150A73" w:rsidP="00D46CB6">
      <w:pPr>
        <w:ind w:right="-1440"/>
        <w:rPr>
          <w:b/>
        </w:rPr>
      </w:pPr>
    </w:p>
    <w:p w:rsidR="00D46CB6" w:rsidRPr="00E41643" w:rsidRDefault="00D46CB6" w:rsidP="00D46CB6">
      <w:r w:rsidRPr="0068530E">
        <w:rPr>
          <w:b/>
        </w:rPr>
        <w:t>I.  Overview</w:t>
      </w:r>
      <w:r>
        <w:rPr>
          <w:b/>
        </w:rPr>
        <w:tab/>
      </w:r>
      <w:r w:rsidRPr="00E41643">
        <w:t xml:space="preserve">    </w:t>
      </w:r>
      <w:r w:rsidR="00EA6264">
        <w:t xml:space="preserve">                                                                                                               </w:t>
      </w:r>
      <w:r w:rsidR="007C1CA1">
        <w:t xml:space="preserve"> </w:t>
      </w:r>
      <w:r w:rsidR="004741A0">
        <w:t>1</w:t>
      </w:r>
    </w:p>
    <w:p w:rsidR="00D46CB6" w:rsidRDefault="00D46CB6" w:rsidP="00D46CB6"/>
    <w:p w:rsidR="00D46CB6" w:rsidRDefault="00D46CB6" w:rsidP="00D46CB6">
      <w:pPr>
        <w:rPr>
          <w:b/>
        </w:rPr>
      </w:pPr>
      <w:r w:rsidRPr="0068530E">
        <w:rPr>
          <w:b/>
        </w:rPr>
        <w:t>II.</w:t>
      </w:r>
      <w:r w:rsidR="00812E45">
        <w:rPr>
          <w:b/>
        </w:rPr>
        <w:t xml:space="preserve"> </w:t>
      </w:r>
      <w:r w:rsidRPr="0068530E">
        <w:rPr>
          <w:b/>
        </w:rPr>
        <w:t>Summary of Program Changes</w:t>
      </w:r>
      <w:r w:rsidR="006527DD">
        <w:rPr>
          <w:b/>
        </w:rPr>
        <w:tab/>
      </w:r>
      <w:r w:rsidR="006527DD">
        <w:rPr>
          <w:b/>
        </w:rPr>
        <w:tab/>
      </w:r>
      <w:r w:rsidR="006527DD">
        <w:rPr>
          <w:b/>
        </w:rPr>
        <w:tab/>
      </w:r>
      <w:r w:rsidR="004741A0">
        <w:t xml:space="preserve">       </w:t>
      </w:r>
      <w:r w:rsidR="003B1D21">
        <w:t xml:space="preserve"> </w:t>
      </w:r>
      <w:r w:rsidR="002B4DA9">
        <w:tab/>
      </w:r>
      <w:r w:rsidR="002B4DA9">
        <w:tab/>
      </w:r>
      <w:r w:rsidR="002B4DA9">
        <w:tab/>
      </w:r>
      <w:r w:rsidR="002B4DA9">
        <w:tab/>
        <w:t xml:space="preserve">       </w:t>
      </w:r>
      <w:r w:rsidR="0083331D">
        <w:t>12</w:t>
      </w:r>
    </w:p>
    <w:p w:rsidR="00A258B3" w:rsidRDefault="00A258B3" w:rsidP="00D46CB6">
      <w:pPr>
        <w:rPr>
          <w:b/>
        </w:rPr>
      </w:pPr>
    </w:p>
    <w:p w:rsidR="00D46CB6" w:rsidRPr="00CF248E" w:rsidRDefault="00205926" w:rsidP="00D46CB6">
      <w:r>
        <w:rPr>
          <w:b/>
        </w:rPr>
        <w:t>I</w:t>
      </w:r>
      <w:r w:rsidR="00611A1F">
        <w:rPr>
          <w:b/>
        </w:rPr>
        <w:t>II</w:t>
      </w:r>
      <w:r>
        <w:rPr>
          <w:b/>
        </w:rPr>
        <w:t xml:space="preserve">. </w:t>
      </w:r>
      <w:r w:rsidR="00D46CB6" w:rsidRPr="0068530E">
        <w:rPr>
          <w:b/>
        </w:rPr>
        <w:t xml:space="preserve">Appropriations Language and Analysis of Appropriations </w:t>
      </w:r>
      <w:r w:rsidR="00D46CB6">
        <w:rPr>
          <w:b/>
        </w:rPr>
        <w:t>L</w:t>
      </w:r>
      <w:r w:rsidR="00D46CB6" w:rsidRPr="0068530E">
        <w:rPr>
          <w:b/>
        </w:rPr>
        <w:t>anguage</w:t>
      </w:r>
      <w:r w:rsidR="00D46CB6">
        <w:rPr>
          <w:b/>
        </w:rPr>
        <w:t xml:space="preserve"> </w:t>
      </w:r>
      <w:r w:rsidR="00CF248E">
        <w:rPr>
          <w:b/>
        </w:rPr>
        <w:tab/>
        <w:t xml:space="preserve">       </w:t>
      </w:r>
      <w:r w:rsidR="00A16B0F">
        <w:t>1</w:t>
      </w:r>
      <w:r w:rsidR="0083331D">
        <w:t>3</w:t>
      </w:r>
    </w:p>
    <w:p w:rsidR="00D46CB6" w:rsidRPr="0068530E" w:rsidRDefault="00A258B3" w:rsidP="00D46CB6">
      <w:pPr>
        <w:rPr>
          <w:b/>
        </w:rPr>
      </w:pPr>
      <w:r>
        <w:rPr>
          <w:b/>
        </w:rPr>
        <w:tab/>
      </w:r>
    </w:p>
    <w:p w:rsidR="00D46CB6" w:rsidRDefault="00611A1F" w:rsidP="00D46CB6">
      <w:r>
        <w:rPr>
          <w:b/>
        </w:rPr>
        <w:t>I</w:t>
      </w:r>
      <w:r w:rsidR="00D46CB6" w:rsidRPr="0068530E">
        <w:rPr>
          <w:b/>
        </w:rPr>
        <w:t>V.</w:t>
      </w:r>
      <w:r w:rsidR="00205926">
        <w:rPr>
          <w:b/>
        </w:rPr>
        <w:t xml:space="preserve"> </w:t>
      </w:r>
      <w:r w:rsidR="00D46CB6" w:rsidRPr="0068530E">
        <w:rPr>
          <w:b/>
        </w:rPr>
        <w:t>Decision Unit Justification</w:t>
      </w:r>
    </w:p>
    <w:p w:rsidR="00D46CB6" w:rsidRPr="00BB0DC5" w:rsidRDefault="00D46CB6" w:rsidP="00D46CB6">
      <w:pPr>
        <w:numPr>
          <w:ilvl w:val="0"/>
          <w:numId w:val="4"/>
        </w:numPr>
      </w:pPr>
      <w:r w:rsidRPr="00BB0DC5">
        <w:t xml:space="preserve">New Construction   </w:t>
      </w:r>
      <w:r w:rsidR="00EA6264" w:rsidRPr="00BB0DC5">
        <w:t xml:space="preserve">                                                                                              </w:t>
      </w:r>
    </w:p>
    <w:p w:rsidR="00D46CB6" w:rsidRDefault="00D46CB6" w:rsidP="00D46CB6">
      <w:pPr>
        <w:numPr>
          <w:ilvl w:val="1"/>
          <w:numId w:val="4"/>
        </w:numPr>
      </w:pPr>
      <w:r>
        <w:t>Program Description</w:t>
      </w:r>
      <w:r w:rsidR="00EA6264">
        <w:t xml:space="preserve">                                       </w:t>
      </w:r>
      <w:r w:rsidR="006527DD">
        <w:t xml:space="preserve">                                          </w:t>
      </w:r>
      <w:r w:rsidR="006D38F1">
        <w:t xml:space="preserve"> </w:t>
      </w:r>
      <w:r w:rsidR="004741A0">
        <w:t>1</w:t>
      </w:r>
      <w:r w:rsidR="0083331D">
        <w:t>4</w:t>
      </w:r>
      <w:r w:rsidR="00EA6264">
        <w:t xml:space="preserve">                                         </w:t>
      </w:r>
      <w:r w:rsidR="006F727D">
        <w:t xml:space="preserve"> </w:t>
      </w:r>
      <w:r w:rsidR="00EA6264">
        <w:t xml:space="preserve"> </w:t>
      </w:r>
    </w:p>
    <w:p w:rsidR="00D46CB6" w:rsidRDefault="00D46CB6" w:rsidP="00D46CB6">
      <w:pPr>
        <w:numPr>
          <w:ilvl w:val="1"/>
          <w:numId w:val="4"/>
        </w:numPr>
      </w:pPr>
      <w:r>
        <w:t>Performance Tables</w:t>
      </w:r>
      <w:r w:rsidR="00EA6264">
        <w:t xml:space="preserve">                                                                               </w:t>
      </w:r>
      <w:r w:rsidR="00591FD2">
        <w:t xml:space="preserve"> </w:t>
      </w:r>
      <w:r w:rsidR="00EA6264">
        <w:t xml:space="preserve">  </w:t>
      </w:r>
      <w:r w:rsidR="006D38F1">
        <w:t xml:space="preserve"> </w:t>
      </w:r>
      <w:r w:rsidR="00CC6AAD">
        <w:t>1</w:t>
      </w:r>
      <w:r w:rsidR="0083331D">
        <w:t>7</w:t>
      </w:r>
    </w:p>
    <w:p w:rsidR="00D46CB6" w:rsidRDefault="00D46CB6" w:rsidP="00D46CB6">
      <w:pPr>
        <w:numPr>
          <w:ilvl w:val="1"/>
          <w:numId w:val="4"/>
        </w:numPr>
      </w:pPr>
      <w:r>
        <w:t>Performance, Resources, and Strategies</w:t>
      </w:r>
      <w:r w:rsidR="006F727D">
        <w:t xml:space="preserve">                                                 </w:t>
      </w:r>
      <w:r w:rsidR="00591FD2">
        <w:t xml:space="preserve"> </w:t>
      </w:r>
      <w:r w:rsidR="006D38F1">
        <w:t xml:space="preserve"> </w:t>
      </w:r>
      <w:r w:rsidR="006F727D">
        <w:t xml:space="preserve"> </w:t>
      </w:r>
      <w:r w:rsidR="0083331D">
        <w:t>20</w:t>
      </w:r>
    </w:p>
    <w:p w:rsidR="00D46CB6" w:rsidRPr="00BB0DC5" w:rsidRDefault="00D46CB6" w:rsidP="00D46CB6">
      <w:pPr>
        <w:numPr>
          <w:ilvl w:val="0"/>
          <w:numId w:val="4"/>
        </w:numPr>
      </w:pPr>
      <w:r>
        <w:t xml:space="preserve"> </w:t>
      </w:r>
      <w:r w:rsidRPr="00BB0DC5">
        <w:t xml:space="preserve">Modernization and Repair    </w:t>
      </w:r>
    </w:p>
    <w:p w:rsidR="002D1020" w:rsidRDefault="00D46CB6" w:rsidP="00D46CB6">
      <w:pPr>
        <w:ind w:left="720"/>
      </w:pPr>
      <w:r>
        <w:t xml:space="preserve">      1.  Program Description</w:t>
      </w:r>
      <w:r w:rsidR="006F727D">
        <w:t xml:space="preserve">                                                                                </w:t>
      </w:r>
      <w:r w:rsidR="00214DF3">
        <w:t xml:space="preserve"> </w:t>
      </w:r>
      <w:r w:rsidR="004B42DC">
        <w:t xml:space="preserve"> </w:t>
      </w:r>
      <w:r w:rsidR="00214DF3">
        <w:t xml:space="preserve"> </w:t>
      </w:r>
      <w:r w:rsidR="008D2675">
        <w:t>2</w:t>
      </w:r>
      <w:r w:rsidR="0083331D">
        <w:t>1</w:t>
      </w:r>
    </w:p>
    <w:p w:rsidR="007D140D" w:rsidRDefault="00D46CB6" w:rsidP="002D1020">
      <w:pPr>
        <w:ind w:left="720"/>
      </w:pPr>
      <w:r>
        <w:t xml:space="preserve">      2.  Performance Tables</w:t>
      </w:r>
      <w:r>
        <w:tab/>
      </w:r>
      <w:r w:rsidR="006F727D">
        <w:t xml:space="preserve">                                                                             </w:t>
      </w:r>
      <w:r w:rsidR="006527DD">
        <w:t xml:space="preserve"> </w:t>
      </w:r>
      <w:r w:rsidR="008D2675">
        <w:t xml:space="preserve"> </w:t>
      </w:r>
      <w:r w:rsidR="004741A0">
        <w:t>2</w:t>
      </w:r>
      <w:r w:rsidR="0083331D">
        <w:t>6</w:t>
      </w:r>
    </w:p>
    <w:p w:rsidR="007D140D" w:rsidRDefault="00D46CB6" w:rsidP="00D46CB6">
      <w:r>
        <w:tab/>
        <w:t xml:space="preserve">      3.  Performance, Resources, and Strategies</w:t>
      </w:r>
      <w:r w:rsidR="006F727D">
        <w:t xml:space="preserve">           </w:t>
      </w:r>
      <w:r w:rsidR="008D2675">
        <w:t xml:space="preserve">                        </w:t>
      </w:r>
      <w:r w:rsidR="008D2675">
        <w:tab/>
        <w:t xml:space="preserve">       </w:t>
      </w:r>
      <w:r w:rsidR="0083331D">
        <w:t>29</w:t>
      </w:r>
      <w:r w:rsidR="006F727D">
        <w:t xml:space="preserve">  </w:t>
      </w:r>
      <w:r>
        <w:t xml:space="preserve">     </w:t>
      </w:r>
    </w:p>
    <w:p w:rsidR="00812E45" w:rsidRDefault="00812E45" w:rsidP="00D46CB6"/>
    <w:p w:rsidR="00BB0DC5" w:rsidRDefault="00812E45" w:rsidP="00812E45">
      <w:pPr>
        <w:rPr>
          <w:b/>
        </w:rPr>
      </w:pPr>
      <w:r>
        <w:rPr>
          <w:b/>
        </w:rPr>
        <w:t xml:space="preserve">V.  </w:t>
      </w:r>
      <w:r w:rsidR="007D140D">
        <w:rPr>
          <w:b/>
        </w:rPr>
        <w:t>Program Increases by Item</w:t>
      </w:r>
      <w:r w:rsidR="00205926">
        <w:rPr>
          <w:b/>
        </w:rPr>
        <w:t xml:space="preserve"> – Not Applicable</w:t>
      </w:r>
    </w:p>
    <w:p w:rsidR="00812E45" w:rsidRPr="00BB0DC5" w:rsidRDefault="00BB0DC5" w:rsidP="00205926">
      <w:r>
        <w:rPr>
          <w:b/>
        </w:rPr>
        <w:t xml:space="preserve">      </w:t>
      </w:r>
    </w:p>
    <w:p w:rsidR="007D140D" w:rsidRDefault="00812E45" w:rsidP="00812E45">
      <w:pPr>
        <w:rPr>
          <w:b/>
        </w:rPr>
      </w:pPr>
      <w:r>
        <w:rPr>
          <w:b/>
        </w:rPr>
        <w:t>V</w:t>
      </w:r>
      <w:r w:rsidR="00205926">
        <w:rPr>
          <w:b/>
        </w:rPr>
        <w:t>I</w:t>
      </w:r>
      <w:r>
        <w:rPr>
          <w:b/>
        </w:rPr>
        <w:t>.</w:t>
      </w:r>
      <w:r w:rsidR="007D140D">
        <w:rPr>
          <w:b/>
        </w:rPr>
        <w:t xml:space="preserve"> Program Offsets by Item</w:t>
      </w:r>
      <w:r w:rsidR="008D2675">
        <w:rPr>
          <w:b/>
        </w:rPr>
        <w:t xml:space="preserve"> </w:t>
      </w:r>
    </w:p>
    <w:p w:rsidR="002B4DA9" w:rsidRPr="002B4DA9" w:rsidRDefault="002B4DA9" w:rsidP="00812E45">
      <w:r>
        <w:rPr>
          <w:b/>
        </w:rPr>
        <w:t xml:space="preserve">       Rescission of Prior Years’ Unobligated Balances</w:t>
      </w:r>
      <w:r>
        <w:tab/>
      </w:r>
      <w:r>
        <w:tab/>
      </w:r>
      <w:r>
        <w:tab/>
      </w:r>
      <w:r>
        <w:tab/>
        <w:t xml:space="preserve">       3</w:t>
      </w:r>
      <w:r w:rsidR="0083331D">
        <w:t>0</w:t>
      </w:r>
    </w:p>
    <w:p w:rsidR="00B4134D" w:rsidRDefault="00B4134D" w:rsidP="00B4134D">
      <w:pPr>
        <w:ind w:left="765"/>
        <w:rPr>
          <w:b/>
        </w:rPr>
      </w:pPr>
    </w:p>
    <w:p w:rsidR="00D46CB6" w:rsidRDefault="00812E45" w:rsidP="00812E45">
      <w:pPr>
        <w:rPr>
          <w:b/>
        </w:rPr>
      </w:pPr>
      <w:r>
        <w:rPr>
          <w:b/>
        </w:rPr>
        <w:t>VI</w:t>
      </w:r>
      <w:r w:rsidR="00205926">
        <w:rPr>
          <w:b/>
        </w:rPr>
        <w:t>I</w:t>
      </w:r>
      <w:r>
        <w:rPr>
          <w:b/>
        </w:rPr>
        <w:t xml:space="preserve">. </w:t>
      </w:r>
      <w:r w:rsidR="00D46CB6" w:rsidRPr="0068530E">
        <w:rPr>
          <w:b/>
        </w:rPr>
        <w:t>Exhibits</w:t>
      </w:r>
    </w:p>
    <w:p w:rsidR="00D46CB6" w:rsidRDefault="001E7988" w:rsidP="00D46CB6">
      <w:pPr>
        <w:numPr>
          <w:ilvl w:val="0"/>
          <w:numId w:val="5"/>
        </w:numPr>
      </w:pPr>
      <w:r>
        <w:t>Organizational Chart</w:t>
      </w:r>
    </w:p>
    <w:p w:rsidR="00D46CB6" w:rsidRDefault="00D46CB6" w:rsidP="00D46CB6">
      <w:pPr>
        <w:numPr>
          <w:ilvl w:val="0"/>
          <w:numId w:val="5"/>
        </w:numPr>
      </w:pPr>
      <w:r>
        <w:t>Summary of Requi</w:t>
      </w:r>
      <w:r w:rsidR="001E7988">
        <w:t>rements</w:t>
      </w:r>
    </w:p>
    <w:p w:rsidR="00D46CB6" w:rsidRDefault="00D46CB6" w:rsidP="00D46CB6">
      <w:pPr>
        <w:numPr>
          <w:ilvl w:val="0"/>
          <w:numId w:val="5"/>
        </w:numPr>
      </w:pPr>
      <w:r>
        <w:t>Program Increases by Decision Unit</w:t>
      </w:r>
      <w:r w:rsidR="00205926">
        <w:t xml:space="preserve"> – Not Applicable</w:t>
      </w:r>
      <w:r w:rsidR="00D84639">
        <w:tab/>
      </w:r>
      <w:r w:rsidR="00D84639">
        <w:tab/>
      </w:r>
      <w:r w:rsidR="00D84639">
        <w:tab/>
      </w:r>
    </w:p>
    <w:p w:rsidR="00D46CB6" w:rsidRDefault="00D46CB6" w:rsidP="00D46CB6">
      <w:pPr>
        <w:numPr>
          <w:ilvl w:val="0"/>
          <w:numId w:val="5"/>
        </w:numPr>
      </w:pPr>
      <w:r>
        <w:t>Resources by DOJ Strateg</w:t>
      </w:r>
      <w:r w:rsidR="00344A5F">
        <w:t>ic Goal/Objective</w:t>
      </w:r>
      <w:r w:rsidR="007D0CED">
        <w:t xml:space="preserve"> </w:t>
      </w:r>
    </w:p>
    <w:p w:rsidR="00D46CB6" w:rsidRDefault="00D46CB6" w:rsidP="00D46CB6">
      <w:pPr>
        <w:numPr>
          <w:ilvl w:val="0"/>
          <w:numId w:val="5"/>
        </w:numPr>
      </w:pPr>
      <w:r>
        <w:t>Justif</w:t>
      </w:r>
      <w:r w:rsidR="00344A5F">
        <w:t>ication for Base Adjustments</w:t>
      </w:r>
    </w:p>
    <w:p w:rsidR="00D46CB6" w:rsidRDefault="00C74E0D" w:rsidP="00D46CB6">
      <w:pPr>
        <w:numPr>
          <w:ilvl w:val="0"/>
          <w:numId w:val="5"/>
        </w:numPr>
      </w:pPr>
      <w:r>
        <w:t>Crosswalk of 2010</w:t>
      </w:r>
      <w:r w:rsidR="00344A5F">
        <w:t xml:space="preserve"> Availability</w:t>
      </w:r>
    </w:p>
    <w:p w:rsidR="00D46CB6" w:rsidRDefault="00D46CB6" w:rsidP="00D46CB6">
      <w:pPr>
        <w:numPr>
          <w:ilvl w:val="0"/>
          <w:numId w:val="5"/>
        </w:numPr>
      </w:pPr>
      <w:r>
        <w:t>Crosswalk of 20</w:t>
      </w:r>
      <w:r w:rsidR="00EA70CE">
        <w:t>1</w:t>
      </w:r>
      <w:r w:rsidR="00C74E0D">
        <w:t>1</w:t>
      </w:r>
      <w:r>
        <w:t xml:space="preserve"> Availability</w:t>
      </w:r>
      <w:r w:rsidR="007D0CED">
        <w:t xml:space="preserve"> </w:t>
      </w:r>
      <w:r w:rsidR="007D140D">
        <w:tab/>
        <w:t xml:space="preserve">   </w:t>
      </w:r>
    </w:p>
    <w:p w:rsidR="00D46CB6" w:rsidRDefault="00D46CB6" w:rsidP="00D46CB6">
      <w:pPr>
        <w:numPr>
          <w:ilvl w:val="0"/>
          <w:numId w:val="5"/>
        </w:numPr>
      </w:pPr>
      <w:r>
        <w:t xml:space="preserve">Summary of Reimbursable Resources </w:t>
      </w:r>
      <w:r w:rsidR="007D0CED">
        <w:t>– Not Applicable</w:t>
      </w:r>
      <w:r>
        <w:t xml:space="preserve">  </w:t>
      </w:r>
    </w:p>
    <w:p w:rsidR="00D46CB6" w:rsidRDefault="00D46CB6" w:rsidP="00D46CB6">
      <w:pPr>
        <w:numPr>
          <w:ilvl w:val="0"/>
          <w:numId w:val="5"/>
        </w:numPr>
      </w:pPr>
      <w:r>
        <w:t>Detail of Permanent Posit</w:t>
      </w:r>
      <w:r w:rsidR="00344A5F">
        <w:t>ions by Category</w:t>
      </w:r>
    </w:p>
    <w:p w:rsidR="00D46CB6" w:rsidRDefault="00D46CB6" w:rsidP="00D46CB6">
      <w:pPr>
        <w:numPr>
          <w:ilvl w:val="0"/>
          <w:numId w:val="5"/>
        </w:numPr>
      </w:pPr>
      <w:r>
        <w:t>Financial Analysis of Program Increa</w:t>
      </w:r>
      <w:r w:rsidR="00344A5F">
        <w:t xml:space="preserve">ses/Offsets </w:t>
      </w:r>
      <w:r w:rsidR="00C42414">
        <w:t>– Not Applicable</w:t>
      </w:r>
      <w:r w:rsidR="007D140D">
        <w:tab/>
      </w:r>
      <w:r w:rsidR="00344A5F">
        <w:tab/>
      </w:r>
      <w:r w:rsidR="00344A5F">
        <w:tab/>
      </w:r>
      <w:r w:rsidR="007D140D">
        <w:t xml:space="preserve">     </w:t>
      </w:r>
    </w:p>
    <w:p w:rsidR="00D46CB6" w:rsidRDefault="00D46CB6" w:rsidP="00D46CB6">
      <w:pPr>
        <w:numPr>
          <w:ilvl w:val="0"/>
          <w:numId w:val="5"/>
        </w:numPr>
      </w:pPr>
      <w:r>
        <w:t>Summary of Requi</w:t>
      </w:r>
      <w:r w:rsidR="00344A5F">
        <w:t>rements by Grade</w:t>
      </w:r>
    </w:p>
    <w:p w:rsidR="00D46CB6" w:rsidRDefault="00D46CB6" w:rsidP="00D46CB6">
      <w:pPr>
        <w:numPr>
          <w:ilvl w:val="0"/>
          <w:numId w:val="5"/>
        </w:numPr>
      </w:pPr>
      <w:r>
        <w:t>Summary of Requirements by Object Class</w:t>
      </w:r>
    </w:p>
    <w:p w:rsidR="00940DF1" w:rsidRDefault="00D46CB6" w:rsidP="00D46CB6">
      <w:pPr>
        <w:numPr>
          <w:ilvl w:val="0"/>
          <w:numId w:val="5"/>
        </w:numPr>
      </w:pPr>
      <w:r>
        <w:t>Status of Congressionally Requested Studies, Reports, and Evaluations</w:t>
      </w:r>
      <w:r w:rsidR="007D0CED">
        <w:t xml:space="preserve"> </w:t>
      </w:r>
      <w:r w:rsidR="00611A1F">
        <w:t>– Not Applicable</w:t>
      </w:r>
    </w:p>
    <w:p w:rsidR="00D46CB6" w:rsidRDefault="00D46CB6" w:rsidP="00611A1F">
      <w:pPr>
        <w:numPr>
          <w:ilvl w:val="0"/>
          <w:numId w:val="5"/>
        </w:numPr>
      </w:pPr>
      <w:r>
        <w:t>Summary o</w:t>
      </w:r>
      <w:r w:rsidR="00344A5F">
        <w:t>f Change</w:t>
      </w:r>
    </w:p>
    <w:p w:rsidR="00D46CB6" w:rsidRDefault="00D46CB6" w:rsidP="00611A1F">
      <w:pPr>
        <w:numPr>
          <w:ilvl w:val="0"/>
          <w:numId w:val="5"/>
        </w:numPr>
      </w:pPr>
      <w:r>
        <w:t>Status of Construc</w:t>
      </w:r>
      <w:r w:rsidR="00344A5F">
        <w:t>tion</w:t>
      </w:r>
    </w:p>
    <w:p w:rsidR="00E72E20" w:rsidRDefault="004E398A" w:rsidP="00294336">
      <w:r>
        <w:t xml:space="preserve">      </w:t>
      </w:r>
      <w:r w:rsidR="00611A1F">
        <w:t>P</w:t>
      </w:r>
      <w:r w:rsidR="001E7988">
        <w:t>.</w:t>
      </w:r>
      <w:r w:rsidR="001E7988">
        <w:tab/>
      </w:r>
      <w:r w:rsidR="00D46CB6">
        <w:t>Waterfall</w:t>
      </w:r>
      <w:r w:rsidR="00FF3558" w:rsidRPr="00FF3558">
        <w:t xml:space="preserve">    </w:t>
      </w:r>
      <w:r w:rsidR="00FF3558">
        <w:t xml:space="preserve"> </w:t>
      </w:r>
      <w:r w:rsidR="00FF3558" w:rsidRPr="00FF3558">
        <w:t xml:space="preserve"> </w:t>
      </w:r>
    </w:p>
    <w:p w:rsidR="000A5CEF" w:rsidRDefault="000A5CEF" w:rsidP="00C2116A">
      <w:pPr>
        <w:widowControl w:val="0"/>
      </w:pPr>
    </w:p>
    <w:p w:rsidR="00361FC0" w:rsidRDefault="00361FC0" w:rsidP="00C2116A">
      <w:pPr>
        <w:widowControl w:val="0"/>
        <w:sectPr w:rsidR="00361FC0" w:rsidSect="00361FC0">
          <w:footerReference w:type="even" r:id="rId8"/>
          <w:footerReference w:type="default" r:id="rId9"/>
          <w:footerReference w:type="first" r:id="rId10"/>
          <w:pgSz w:w="12240" w:h="15840"/>
          <w:pgMar w:top="1440" w:right="1800" w:bottom="432" w:left="1800" w:header="720" w:footer="720" w:gutter="0"/>
          <w:pgNumType w:fmt="lowerRoman" w:start="1"/>
          <w:cols w:space="720"/>
          <w:docGrid w:linePitch="360"/>
        </w:sectPr>
      </w:pPr>
    </w:p>
    <w:p w:rsidR="00C2116A" w:rsidRDefault="00C2116A" w:rsidP="00C2116A">
      <w:pPr>
        <w:widowControl w:val="0"/>
        <w:rPr>
          <w:b/>
        </w:rPr>
      </w:pPr>
      <w:r>
        <w:rPr>
          <w:b/>
        </w:rPr>
        <w:lastRenderedPageBreak/>
        <w:t>I.  Overview for the Bureau of Prisons, Buildings and Facilities (B&amp;F) Appropriation</w:t>
      </w:r>
    </w:p>
    <w:p w:rsidR="00C2116A" w:rsidRDefault="00C2116A" w:rsidP="00C2116A">
      <w:pPr>
        <w:widowControl w:val="0"/>
      </w:pPr>
    </w:p>
    <w:p w:rsidR="00C2116A" w:rsidRDefault="00C2116A" w:rsidP="00C2116A">
      <w:pPr>
        <w:widowControl w:val="0"/>
      </w:pPr>
      <w:r>
        <w:t>The Bureau of Prisons (BOP) was established in 1930 to provide more progressive and humane care for Federal inmates, to professionalize the prison service, and to ensure consistent and centralized administration of the 11 Federal prisons in operation at that time (now 11</w:t>
      </w:r>
      <w:r w:rsidR="00227516">
        <w:t>6</w:t>
      </w:r>
      <w:r>
        <w:t xml:space="preserve">).  The mission of the BOP, an agency of the Department of Justice (DOJ), is to protect society by confining offenders in the controlled environments of prisons and community-based facilities that are safe, humane, cost-efficient, and appropriately secure, and that provide work and other self-improvement opportunities to assist offenders in becoming law-abiding citizens.  Electronic copies of the Department of Justice Congressional Budget Justifications and Capital Asset Plan and Business Case exhibits can be viewed or downloaded from the Internet using the Internet address:  </w:t>
      </w:r>
      <w:hyperlink r:id="rId11" w:history="1">
        <w:r w:rsidR="001F36F7" w:rsidRPr="0092176C">
          <w:rPr>
            <w:rStyle w:val="Hyperlink"/>
            <w:b/>
          </w:rPr>
          <w:t>http://www.justice.gov/02organizations/bpp.htm</w:t>
        </w:r>
      </w:hyperlink>
      <w:r>
        <w:t>.</w:t>
      </w:r>
    </w:p>
    <w:p w:rsidR="00C2116A" w:rsidRDefault="00C2116A" w:rsidP="00C2116A">
      <w:pPr>
        <w:widowControl w:val="0"/>
      </w:pPr>
    </w:p>
    <w:p w:rsidR="00675DAE" w:rsidRDefault="00675DAE" w:rsidP="00675DAE">
      <w:r>
        <w:t>The BOP faces unprecedented challenges in managing the growing Federal inmate popul</w:t>
      </w:r>
      <w:r w:rsidR="00417AFE">
        <w:t>ation, and providing for inmate</w:t>
      </w:r>
      <w:r>
        <w:t>s</w:t>
      </w:r>
      <w:r w:rsidR="00417AFE">
        <w:t>’</w:t>
      </w:r>
      <w:r>
        <w:t xml:space="preserve"> care and safety in crowded conditions, as well as the safety of BOP staff and surrounding communities, within budgeted levels.  The average net increase in the inmate population over the past five fiscal years (FY 200</w:t>
      </w:r>
      <w:r w:rsidR="005401A1">
        <w:t>6</w:t>
      </w:r>
      <w:r>
        <w:t xml:space="preserve"> – FY 20</w:t>
      </w:r>
      <w:r w:rsidR="005401A1">
        <w:t>10</w:t>
      </w:r>
      <w:r>
        <w:t xml:space="preserve">) is </w:t>
      </w:r>
      <w:r w:rsidR="005401A1">
        <w:t>over</w:t>
      </w:r>
      <w:r>
        <w:t xml:space="preserve"> </w:t>
      </w:r>
      <w:r w:rsidR="005401A1">
        <w:t>4</w:t>
      </w:r>
      <w:r>
        <w:t>,</w:t>
      </w:r>
      <w:r w:rsidR="005401A1">
        <w:t>5</w:t>
      </w:r>
      <w:r>
        <w:t xml:space="preserve">00 per year.  In FY 2008, the inmate population had </w:t>
      </w:r>
      <w:r w:rsidR="005401A1">
        <w:t xml:space="preserve">a </w:t>
      </w:r>
      <w:r>
        <w:t>smalle</w:t>
      </w:r>
      <w:r w:rsidR="005401A1">
        <w:t>r</w:t>
      </w:r>
      <w:r>
        <w:t xml:space="preserve"> increase, growing by a net of 1,648 new inmates attributed to inmates receiving sentence reductions, many resulting in immediate release, after the U.S. Sentencing Commission changed sentencing guidelines to retroactively re-sentence inmates convicted of crack cocaine offenses.  The effect of this change was almost fully realized in FY 2008.  In FY 2009, a net growth of 7,091 new inmates was realized and </w:t>
      </w:r>
      <w:r w:rsidR="005401A1">
        <w:t>in FY 2010 an additional 1,463.  A</w:t>
      </w:r>
      <w:r w:rsidR="00873848">
        <w:t>n increase of approximately</w:t>
      </w:r>
      <w:r>
        <w:t xml:space="preserve"> </w:t>
      </w:r>
      <w:r w:rsidR="005401A1">
        <w:t>5</w:t>
      </w:r>
      <w:r>
        <w:t>,</w:t>
      </w:r>
      <w:r w:rsidR="005401A1">
        <w:t>8</w:t>
      </w:r>
      <w:r>
        <w:t xml:space="preserve">00 inmates </w:t>
      </w:r>
      <w:r w:rsidR="00035581">
        <w:t xml:space="preserve">per year </w:t>
      </w:r>
      <w:r>
        <w:t xml:space="preserve">is projected for </w:t>
      </w:r>
      <w:r w:rsidR="005401A1">
        <w:t xml:space="preserve">FY 2011 and </w:t>
      </w:r>
      <w:r>
        <w:t>FY 201</w:t>
      </w:r>
      <w:r w:rsidR="005E4306">
        <w:t>2</w:t>
      </w:r>
      <w:r>
        <w:t>.</w:t>
      </w:r>
    </w:p>
    <w:p w:rsidR="00675DAE" w:rsidRDefault="00675DAE" w:rsidP="00C2116A"/>
    <w:p w:rsidR="009566B9" w:rsidRDefault="00675DAE" w:rsidP="00C2116A">
      <w:r>
        <w:t xml:space="preserve">For FY 2012, </w:t>
      </w:r>
      <w:r w:rsidR="00C90C6B">
        <w:t>a total of</w:t>
      </w:r>
      <w:r>
        <w:t xml:space="preserve"> $</w:t>
      </w:r>
      <w:r w:rsidR="00C90C6B">
        <w:t>99</w:t>
      </w:r>
      <w:r>
        <w:t>,</w:t>
      </w:r>
      <w:r w:rsidR="00C90C6B">
        <w:t>394</w:t>
      </w:r>
      <w:r>
        <w:t xml:space="preserve">,000, with 275 positions and 256 </w:t>
      </w:r>
      <w:r w:rsidR="00284368">
        <w:t>FTEs</w:t>
      </w:r>
      <w:r>
        <w:t xml:space="preserve"> </w:t>
      </w:r>
      <w:r w:rsidR="00C90C6B">
        <w:t xml:space="preserve">are requested for the </w:t>
      </w:r>
      <w:r>
        <w:t xml:space="preserve">B&amp;F appropriation.  </w:t>
      </w:r>
      <w:r w:rsidR="009566B9">
        <w:t xml:space="preserve">The FY 2012 </w:t>
      </w:r>
      <w:r>
        <w:t>request</w:t>
      </w:r>
      <w:r w:rsidR="009566B9">
        <w:t xml:space="preserve"> maintains </w:t>
      </w:r>
      <w:r w:rsidR="00C90C6B">
        <w:t>B&amp;F programs at prior years’</w:t>
      </w:r>
      <w:r w:rsidR="009566B9">
        <w:t xml:space="preserve"> level</w:t>
      </w:r>
      <w:r w:rsidR="00C90C6B">
        <w:t>s</w:t>
      </w:r>
      <w:r w:rsidR="009566B9">
        <w:t xml:space="preserve"> and it will not provide new beds for the projected inmate population growth.  </w:t>
      </w:r>
      <w:r w:rsidR="00C90C6B">
        <w:t xml:space="preserve">Additionally, a rescission of $35,000,000 in prior years’ </w:t>
      </w:r>
      <w:r w:rsidR="00A62389">
        <w:t>N</w:t>
      </w:r>
      <w:r w:rsidR="00C90C6B">
        <w:t xml:space="preserve">ew </w:t>
      </w:r>
      <w:r w:rsidR="00A62389">
        <w:t>C</w:t>
      </w:r>
      <w:r w:rsidR="00C90C6B">
        <w:t xml:space="preserve">onstruction unobligated balances is proposed.  The rescission </w:t>
      </w:r>
      <w:r w:rsidR="005401A1">
        <w:t>reduces</w:t>
      </w:r>
      <w:r w:rsidR="00C90C6B">
        <w:t xml:space="preserve"> $30,000,000 from the </w:t>
      </w:r>
      <w:r w:rsidR="00A62389">
        <w:t xml:space="preserve">planned </w:t>
      </w:r>
      <w:r w:rsidR="00B76748">
        <w:t>“</w:t>
      </w:r>
      <w:r w:rsidR="00C90C6B">
        <w:t>Acqu</w:t>
      </w:r>
      <w:r w:rsidR="00B76748">
        <w:t>ire</w:t>
      </w:r>
      <w:r w:rsidR="00C90C6B">
        <w:t xml:space="preserve"> Existing Institution for Higher Security FCI</w:t>
      </w:r>
      <w:r w:rsidR="00B76748">
        <w:t>”</w:t>
      </w:r>
      <w:r w:rsidR="00C90C6B">
        <w:t xml:space="preserve"> project and </w:t>
      </w:r>
      <w:r w:rsidR="005401A1">
        <w:t xml:space="preserve">reduces </w:t>
      </w:r>
      <w:r w:rsidR="00C90C6B">
        <w:t xml:space="preserve">$5,000,000 from the partially funded </w:t>
      </w:r>
      <w:r w:rsidR="00B76748">
        <w:t>“</w:t>
      </w:r>
      <w:r w:rsidR="00C90C6B">
        <w:t xml:space="preserve">FCI </w:t>
      </w:r>
      <w:r w:rsidR="00485272">
        <w:t>Midwestern/</w:t>
      </w:r>
      <w:r w:rsidR="00C90C6B">
        <w:t>Leavenworth, KS</w:t>
      </w:r>
      <w:r w:rsidR="00B76748">
        <w:t>”</w:t>
      </w:r>
      <w:r w:rsidR="00C90C6B">
        <w:t xml:space="preserve"> project.</w:t>
      </w:r>
    </w:p>
    <w:p w:rsidR="005E4306" w:rsidRDefault="005E4306" w:rsidP="00C2116A"/>
    <w:p w:rsidR="00B006D9" w:rsidRDefault="00B006D9" w:rsidP="00B006D9">
      <w:r>
        <w:t xml:space="preserve">Without legislative and administrative changes, the inmate population will continue to grow for the foreseeable future.  </w:t>
      </w:r>
      <w:r w:rsidR="00E773F7">
        <w:t>F</w:t>
      </w:r>
      <w:r>
        <w:t xml:space="preserve">uture growth </w:t>
      </w:r>
      <w:r w:rsidR="00E773F7">
        <w:t xml:space="preserve">will require </w:t>
      </w:r>
      <w:r>
        <w:t>additional funding beyond the “current services” level.</w:t>
      </w:r>
    </w:p>
    <w:p w:rsidR="004C1622" w:rsidRDefault="004C1622" w:rsidP="002C2FDF"/>
    <w:p w:rsidR="00417AFE" w:rsidRDefault="00BE35B5" w:rsidP="002C2FDF">
      <w:r>
        <w:t>With the continued and future projected inmate growth</w:t>
      </w:r>
      <w:r w:rsidR="005401A1">
        <w:t xml:space="preserve"> and age of existing prisons</w:t>
      </w:r>
      <w:r>
        <w:t xml:space="preserve">, B&amp;F funds have been stretched </w:t>
      </w:r>
      <w:r w:rsidR="005401A1">
        <w:t xml:space="preserve">very </w:t>
      </w:r>
      <w:r>
        <w:t xml:space="preserve">thin.  The BOP strives to follow the Federal Facilities Council recommendations of a two to four percent replacement value method of requesting funding.  </w:t>
      </w:r>
      <w:r w:rsidR="00417AFE">
        <w:t xml:space="preserve">As noted in report (GAO-10-94) released in November 2009, GAO concluded that BOP’s methods for cost estimation largely reflect </w:t>
      </w:r>
      <w:r w:rsidR="00417AFE" w:rsidRPr="008D29F0">
        <w:rPr>
          <w:b/>
        </w:rPr>
        <w:t>best practices</w:t>
      </w:r>
      <w:r w:rsidR="00417AFE">
        <w:t xml:space="preserve"> </w:t>
      </w:r>
      <w:r w:rsidR="005401A1">
        <w:t xml:space="preserve">as </w:t>
      </w:r>
      <w:r w:rsidR="00417AFE">
        <w:t xml:space="preserve">outlined in GAO’s </w:t>
      </w:r>
      <w:r w:rsidR="00417AFE" w:rsidRPr="008D29F0">
        <w:rPr>
          <w:i/>
        </w:rPr>
        <w:t>Cost Estimating and Assessment Guide</w:t>
      </w:r>
      <w:r w:rsidR="00417AFE">
        <w:t xml:space="preserve">.  </w:t>
      </w:r>
      <w:r w:rsidR="005401A1">
        <w:t>GAO stated, “</w:t>
      </w:r>
      <w:r w:rsidR="00417AFE">
        <w:t xml:space="preserve">BOP followed a well-defined process for developing mostly comprehensive, well documented, accurate, </w:t>
      </w:r>
      <w:r w:rsidR="00417AFE">
        <w:lastRenderedPageBreak/>
        <w:t>and credible cost estimates</w:t>
      </w:r>
      <w:r w:rsidR="005401A1">
        <w:t>”</w:t>
      </w:r>
      <w:r w:rsidR="00417AFE">
        <w:t xml:space="preserve">.  Further, GAO found that BOP’s methods for projecting inmate population changes have been accurate.  For example, GAO found projections were accurate, on average, to within 1 percent of the actual inmate population growth from fiscal year 1999 to August </w:t>
      </w:r>
      <w:r w:rsidR="005401A1">
        <w:t>2</w:t>
      </w:r>
      <w:r w:rsidR="00417AFE">
        <w:t xml:space="preserve">009.  The full GAO report is available at:  </w:t>
      </w:r>
      <w:hyperlink r:id="rId12" w:history="1">
        <w:r w:rsidR="00417AFE" w:rsidRPr="00160145">
          <w:rPr>
            <w:rStyle w:val="Hyperlink"/>
          </w:rPr>
          <w:t>http://www.gao.gov/new.items/d1094.pdf</w:t>
        </w:r>
      </w:hyperlink>
      <w:r w:rsidR="00417AFE">
        <w:t>.</w:t>
      </w:r>
    </w:p>
    <w:p w:rsidR="00417AFE" w:rsidRDefault="00417AFE" w:rsidP="002C2FDF"/>
    <w:p w:rsidR="00C2116A" w:rsidRDefault="00417AFE" w:rsidP="00C2116A">
      <w:pPr>
        <w:pStyle w:val="BodyText"/>
      </w:pPr>
      <w:r>
        <w:t xml:space="preserve">As of </w:t>
      </w:r>
      <w:r w:rsidR="00DA0E03">
        <w:t>January</w:t>
      </w:r>
      <w:r>
        <w:t xml:space="preserve"> </w:t>
      </w:r>
      <w:r w:rsidR="00DA0E03">
        <w:t>20</w:t>
      </w:r>
      <w:r>
        <w:t>, 201</w:t>
      </w:r>
      <w:r w:rsidR="00DA0E03">
        <w:t>1</w:t>
      </w:r>
      <w:r>
        <w:t xml:space="preserve">, </w:t>
      </w:r>
      <w:r w:rsidR="00C2116A">
        <w:t>BOP f</w:t>
      </w:r>
      <w:r w:rsidR="00A302AC">
        <w:t xml:space="preserve">acilities are </w:t>
      </w:r>
      <w:r>
        <w:t xml:space="preserve">extremely </w:t>
      </w:r>
      <w:r w:rsidR="00C90F96">
        <w:t>over</w:t>
      </w:r>
      <w:r w:rsidR="00A302AC">
        <w:t>crowded</w:t>
      </w:r>
      <w:r w:rsidR="000C253C">
        <w:t xml:space="preserve"> and operating at </w:t>
      </w:r>
      <w:r w:rsidR="00A302AC">
        <w:t>3</w:t>
      </w:r>
      <w:r w:rsidR="00DA0E03">
        <w:t xml:space="preserve">5 </w:t>
      </w:r>
      <w:r w:rsidR="00C2116A">
        <w:t>percent above rated capacity system-wide</w:t>
      </w:r>
      <w:r w:rsidR="006D4AAB">
        <w:t>; and most critically,</w:t>
      </w:r>
      <w:r w:rsidR="00F7760C">
        <w:t xml:space="preserve"> with 4</w:t>
      </w:r>
      <w:r w:rsidR="00DA0E03">
        <w:t>1</w:t>
      </w:r>
      <w:r w:rsidR="000D5955">
        <w:t xml:space="preserve"> percent overcrowding at the medium security level and 5</w:t>
      </w:r>
      <w:r w:rsidR="00DA0E03">
        <w:t>1</w:t>
      </w:r>
      <w:r w:rsidR="000D5955">
        <w:t xml:space="preserve"> percent overcrowding at high security.</w:t>
      </w:r>
      <w:r w:rsidR="00C2116A">
        <w:t xml:space="preserve">  </w:t>
      </w:r>
      <w:r w:rsidR="0096653F">
        <w:t xml:space="preserve">As of </w:t>
      </w:r>
      <w:r w:rsidR="0044507E">
        <w:t>January</w:t>
      </w:r>
      <w:r w:rsidR="0096653F">
        <w:t xml:space="preserve"> 201</w:t>
      </w:r>
      <w:r w:rsidR="0044507E">
        <w:t>1</w:t>
      </w:r>
      <w:r w:rsidR="007A202E">
        <w:t>, 1</w:t>
      </w:r>
      <w:r w:rsidR="0096653F">
        <w:t>9</w:t>
      </w:r>
      <w:r w:rsidR="007A202E">
        <w:t>,</w:t>
      </w:r>
      <w:r w:rsidR="0044507E">
        <w:t>160</w:t>
      </w:r>
      <w:r w:rsidR="007A202E">
        <w:t xml:space="preserve"> (9</w:t>
      </w:r>
      <w:r w:rsidR="0044507E">
        <w:t>4</w:t>
      </w:r>
      <w:r w:rsidR="007A202E">
        <w:t xml:space="preserve"> percent) high security inmates were double bunked, and </w:t>
      </w:r>
      <w:r w:rsidR="0044507E">
        <w:t>8</w:t>
      </w:r>
      <w:r w:rsidR="007A202E">
        <w:t>,</w:t>
      </w:r>
      <w:r w:rsidR="0044507E">
        <w:t>793</w:t>
      </w:r>
      <w:r w:rsidR="007A202E">
        <w:t xml:space="preserve"> (</w:t>
      </w:r>
      <w:r w:rsidR="0044507E">
        <w:t>16</w:t>
      </w:r>
      <w:r w:rsidR="007A202E">
        <w:t xml:space="preserve"> percent) </w:t>
      </w:r>
      <w:r w:rsidR="0044507E">
        <w:t xml:space="preserve">of </w:t>
      </w:r>
      <w:r w:rsidR="007A202E">
        <w:t xml:space="preserve">medium security inmates and </w:t>
      </w:r>
      <w:r w:rsidR="0044507E">
        <w:t xml:space="preserve">almost </w:t>
      </w:r>
      <w:r w:rsidR="007A202E">
        <w:t>3</w:t>
      </w:r>
      <w:r w:rsidR="0044507E">
        <w:t>6</w:t>
      </w:r>
      <w:r w:rsidR="007A202E">
        <w:t>,</w:t>
      </w:r>
      <w:r w:rsidR="0044507E">
        <w:t>081</w:t>
      </w:r>
      <w:r w:rsidR="007A202E">
        <w:t xml:space="preserve"> (8</w:t>
      </w:r>
      <w:r w:rsidR="0044507E">
        <w:t>2</w:t>
      </w:r>
      <w:r w:rsidR="007A202E">
        <w:t xml:space="preserve"> percent) </w:t>
      </w:r>
      <w:r w:rsidR="0044507E">
        <w:t xml:space="preserve">of </w:t>
      </w:r>
      <w:r w:rsidR="007A202E">
        <w:t>low security inmates were triple bunked</w:t>
      </w:r>
      <w:r w:rsidR="00813D1F">
        <w:t xml:space="preserve"> or housed in space not originally designed for inmate housing</w:t>
      </w:r>
      <w:r w:rsidR="007A202E">
        <w:t xml:space="preserve">.  Overcrowding </w:t>
      </w:r>
      <w:r w:rsidR="0044507E">
        <w:t>r</w:t>
      </w:r>
      <w:r w:rsidR="007A202E">
        <w:t xml:space="preserve">ates will worsen given incarceration trends.  </w:t>
      </w:r>
      <w:r w:rsidR="00DA0E03">
        <w:t>Nearly</w:t>
      </w:r>
      <w:r w:rsidR="001D26F2">
        <w:t xml:space="preserve"> </w:t>
      </w:r>
      <w:r w:rsidR="00C2116A">
        <w:t>1</w:t>
      </w:r>
      <w:r w:rsidR="00A253D6">
        <w:t>7</w:t>
      </w:r>
      <w:r w:rsidR="00DA0E03">
        <w:t>2</w:t>
      </w:r>
      <w:r w:rsidR="00C2116A">
        <w:t>,</w:t>
      </w:r>
      <w:r w:rsidR="00952E62">
        <w:t>0</w:t>
      </w:r>
      <w:r w:rsidR="00240EFB">
        <w:t>00</w:t>
      </w:r>
      <w:r w:rsidR="00C2116A">
        <w:t xml:space="preserve"> of the current Federal inmate population are in facilities operated by the BOP</w:t>
      </w:r>
      <w:r w:rsidR="006D38F1">
        <w:t xml:space="preserve">.  </w:t>
      </w:r>
      <w:r w:rsidR="00C2116A">
        <w:t xml:space="preserve">The remainder, </w:t>
      </w:r>
      <w:r w:rsidR="004C7E55">
        <w:t>nearly</w:t>
      </w:r>
      <w:r w:rsidR="00C2116A">
        <w:t xml:space="preserve"> 3</w:t>
      </w:r>
      <w:r w:rsidR="00DA0E03">
        <w:t>8</w:t>
      </w:r>
      <w:r w:rsidR="00CE422C">
        <w:t>,</w:t>
      </w:r>
      <w:r w:rsidR="004C7E55">
        <w:t>0</w:t>
      </w:r>
      <w:r w:rsidR="00A253D6">
        <w:t>00</w:t>
      </w:r>
      <w:r w:rsidR="00C2116A">
        <w:t xml:space="preserve"> </w:t>
      </w:r>
      <w:r w:rsidR="000C253C">
        <w:t xml:space="preserve">inmates </w:t>
      </w:r>
      <w:r w:rsidR="00C2116A">
        <w:t xml:space="preserve">or </w:t>
      </w:r>
      <w:r>
        <w:t>18</w:t>
      </w:r>
      <w:r w:rsidR="00C2116A">
        <w:t xml:space="preserve"> percent</w:t>
      </w:r>
      <w:r w:rsidR="00A479CF">
        <w:t>,</w:t>
      </w:r>
      <w:r w:rsidR="00C2116A">
        <w:t xml:space="preserve"> are in contract care </w:t>
      </w:r>
      <w:r w:rsidR="00C90F96">
        <w:t>including</w:t>
      </w:r>
      <w:r w:rsidR="00C2116A">
        <w:t xml:space="preserve"> privately operated secure facilities, facilities managed by state and local governments, residential reentry centers, or home confinement.  The percentage of inmates in contract care </w:t>
      </w:r>
      <w:r w:rsidR="007E40BA">
        <w:t>has steadily increased</w:t>
      </w:r>
      <w:r w:rsidR="00C2116A">
        <w:t xml:space="preserve"> from 1.5 percent in 1980, 10.7 percent in 1990, </w:t>
      </w:r>
      <w:r w:rsidR="00704D38">
        <w:t>and 13.5</w:t>
      </w:r>
      <w:r w:rsidR="008911EA">
        <w:t xml:space="preserve"> </w:t>
      </w:r>
      <w:r w:rsidR="00A018F7">
        <w:t xml:space="preserve">percent </w:t>
      </w:r>
      <w:r w:rsidR="008911EA">
        <w:t xml:space="preserve">in 2000, </w:t>
      </w:r>
      <w:r w:rsidR="00C2116A">
        <w:t>to</w:t>
      </w:r>
      <w:r w:rsidR="00A253D6">
        <w:t xml:space="preserve"> </w:t>
      </w:r>
      <w:r>
        <w:t>18</w:t>
      </w:r>
      <w:r w:rsidR="00C2116A">
        <w:t xml:space="preserve"> percent currently.  Future population, capacity, and crowding projections are shown </w:t>
      </w:r>
      <w:r w:rsidR="00540A21">
        <w:t>in the following table</w:t>
      </w:r>
      <w:r w:rsidR="00C2116A">
        <w:t>:</w:t>
      </w:r>
    </w:p>
    <w:p w:rsidR="00592EF2" w:rsidRDefault="00592EF2" w:rsidP="006D4AAB">
      <w:pPr>
        <w:pStyle w:val="BodyText"/>
      </w:pPr>
    </w:p>
    <w:p w:rsidR="00592EF2" w:rsidRDefault="00592EF2" w:rsidP="00592EF2">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rPr>
      </w:pPr>
      <w:r>
        <w:rPr>
          <w:b/>
        </w:rPr>
        <w:t>Projected Population, Capacity, and Crowding</w:t>
      </w:r>
    </w:p>
    <w:p w:rsidR="00592EF2"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16"/>
          <w:szCs w:val="16"/>
        </w:rPr>
      </w:pPr>
    </w:p>
    <w:tbl>
      <w:tblPr>
        <w:tblW w:w="99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22"/>
        <w:gridCol w:w="899"/>
        <w:gridCol w:w="899"/>
        <w:gridCol w:w="882"/>
        <w:gridCol w:w="882"/>
        <w:gridCol w:w="882"/>
        <w:gridCol w:w="882"/>
        <w:gridCol w:w="882"/>
        <w:gridCol w:w="882"/>
        <w:gridCol w:w="988"/>
      </w:tblGrid>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i/>
                <w:sz w:val="20"/>
              </w:rPr>
            </w:pPr>
          </w:p>
        </w:tc>
        <w:tc>
          <w:tcPr>
            <w:tcW w:w="899"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2010</w:t>
            </w:r>
          </w:p>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u w:val="single"/>
              </w:rPr>
            </w:pPr>
            <w:r w:rsidRPr="00625D94">
              <w:rPr>
                <w:sz w:val="20"/>
              </w:rPr>
              <w:t>(Actual)</w:t>
            </w:r>
          </w:p>
        </w:tc>
        <w:tc>
          <w:tcPr>
            <w:tcW w:w="899"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20</w:t>
            </w:r>
            <w:r>
              <w:rPr>
                <w:sz w:val="20"/>
              </w:rPr>
              <w:t>11</w:t>
            </w:r>
          </w:p>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201</w:t>
            </w:r>
            <w:r>
              <w:rPr>
                <w:sz w:val="20"/>
              </w:rPr>
              <w:t>2</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201</w:t>
            </w:r>
            <w:r>
              <w:rPr>
                <w:sz w:val="20"/>
              </w:rPr>
              <w:t>3</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2014</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2015</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2016</w:t>
            </w:r>
          </w:p>
        </w:tc>
        <w:tc>
          <w:tcPr>
            <w:tcW w:w="882"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2017</w:t>
            </w:r>
          </w:p>
        </w:tc>
        <w:tc>
          <w:tcPr>
            <w:tcW w:w="988" w:type="dxa"/>
            <w:tcBorders>
              <w:top w:val="single" w:sz="6" w:space="0" w:color="000000"/>
              <w:left w:val="single" w:sz="6" w:space="0" w:color="000000"/>
              <w:bottom w:val="single" w:sz="6" w:space="0" w:color="000000"/>
              <w:right w:val="single" w:sz="6" w:space="0" w:color="000000"/>
            </w:tcBorders>
            <w:shd w:val="clear" w:color="auto" w:fill="00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2018</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r w:rsidRPr="00625D94">
              <w:rPr>
                <w:sz w:val="20"/>
              </w:rPr>
              <w:t>BOP Facilities</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Starting Capacity</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Pr>
                <w:sz w:val="20"/>
              </w:rPr>
              <w:t>5</w:t>
            </w:r>
            <w:r w:rsidRPr="00625D94">
              <w:rPr>
                <w:sz w:val="20"/>
              </w:rPr>
              <w:t>,</w:t>
            </w:r>
            <w:r>
              <w:rPr>
                <w:sz w:val="20"/>
              </w:rPr>
              <w:t>778</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Pr>
                <w:sz w:val="20"/>
              </w:rPr>
              <w:t>6</w:t>
            </w:r>
            <w:r w:rsidRPr="00625D94">
              <w:rPr>
                <w:sz w:val="20"/>
              </w:rPr>
              <w:t>,</w:t>
            </w:r>
            <w:r>
              <w:rPr>
                <w:sz w:val="20"/>
              </w:rPr>
              <w:t>713</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Pr>
                <w:sz w:val="20"/>
              </w:rPr>
              <w:t>7</w:t>
            </w:r>
            <w:r w:rsidRPr="00625D94">
              <w:rPr>
                <w:sz w:val="20"/>
              </w:rPr>
              <w:t>,</w:t>
            </w:r>
            <w:r w:rsidR="004A3F82">
              <w:rPr>
                <w:sz w:val="20"/>
              </w:rPr>
              <w:t>671</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w:t>
            </w:r>
            <w:r w:rsidR="004A3F82">
              <w:rPr>
                <w:sz w:val="20"/>
              </w:rPr>
              <w:t>29</w:t>
            </w:r>
            <w:r>
              <w:rPr>
                <w:sz w:val="20"/>
              </w:rPr>
              <w:t>,</w:t>
            </w:r>
            <w:r w:rsidR="004A3F82">
              <w:rPr>
                <w:sz w:val="20"/>
              </w:rPr>
              <w:t>279</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133,</w:t>
            </w:r>
            <w:r w:rsidR="004A3F82">
              <w:rPr>
                <w:sz w:val="20"/>
              </w:rPr>
              <w:t>6</w:t>
            </w:r>
            <w:r>
              <w:rPr>
                <w:sz w:val="20"/>
              </w:rPr>
              <w:t>03</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9F4AAE">
              <w:rPr>
                <w:sz w:val="20"/>
              </w:rPr>
              <w:t>5,291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135,</w:t>
            </w:r>
            <w:r w:rsidR="009F4AAE">
              <w:rPr>
                <w:sz w:val="20"/>
              </w:rPr>
              <w:t>7</w:t>
            </w:r>
            <w:r>
              <w:rPr>
                <w:sz w:val="20"/>
              </w:rPr>
              <w:t>71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9F4AAE"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w:t>
            </w:r>
            <w:r w:rsidR="00592EF2">
              <w:rPr>
                <w:sz w:val="20"/>
              </w:rPr>
              <w:t>,</w:t>
            </w:r>
            <w:r>
              <w:rPr>
                <w:sz w:val="20"/>
              </w:rPr>
              <w:t>2</w:t>
            </w:r>
            <w:r w:rsidR="00592EF2">
              <w:rPr>
                <w:sz w:val="20"/>
              </w:rPr>
              <w:t>71</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w:t>
            </w:r>
            <w:r w:rsidR="009F4AAE">
              <w:rPr>
                <w:sz w:val="20"/>
              </w:rPr>
              <w:t>7</w:t>
            </w:r>
            <w:r>
              <w:rPr>
                <w:sz w:val="20"/>
              </w:rPr>
              <w:t>71</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Additional Approved/Planned</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935</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4A3F8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958</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4A3F8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w:t>
            </w:r>
            <w:r w:rsidR="00592EF2">
              <w:rPr>
                <w:sz w:val="20"/>
              </w:rPr>
              <w:t>,</w:t>
            </w:r>
            <w:r>
              <w:rPr>
                <w:sz w:val="20"/>
              </w:rPr>
              <w:t>608</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4A3F8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4</w:t>
            </w:r>
            <w:r w:rsidR="00592EF2">
              <w:rPr>
                <w:sz w:val="20"/>
              </w:rPr>
              <w:t>,</w:t>
            </w:r>
            <w:r>
              <w:rPr>
                <w:sz w:val="20"/>
              </w:rPr>
              <w:t>324</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1,688</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480</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500</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500</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2,936</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S</w:t>
            </w:r>
            <w:r w:rsidRPr="00625D94">
              <w:rPr>
                <w:sz w:val="20"/>
              </w:rPr>
              <w:t xml:space="preserve">ubtotal </w:t>
            </w:r>
            <w:r>
              <w:rPr>
                <w:sz w:val="20"/>
              </w:rPr>
              <w:t xml:space="preserve">    </w:t>
            </w:r>
            <w:r w:rsidRPr="00625D94">
              <w:rPr>
                <w:sz w:val="20"/>
              </w:rPr>
              <w:t>Capacity</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Pr>
                <w:sz w:val="20"/>
              </w:rPr>
              <w:t>6,713</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231AB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12</w:t>
            </w:r>
            <w:r>
              <w:rPr>
                <w:sz w:val="20"/>
              </w:rPr>
              <w:t>7,</w:t>
            </w:r>
            <w:r w:rsidR="00231AB9">
              <w:rPr>
                <w:sz w:val="20"/>
              </w:rPr>
              <w:t>671</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w:t>
            </w:r>
            <w:r w:rsidR="004A3F82">
              <w:rPr>
                <w:sz w:val="20"/>
              </w:rPr>
              <w:t>29</w:t>
            </w:r>
            <w:r>
              <w:rPr>
                <w:sz w:val="20"/>
              </w:rPr>
              <w:t>,</w:t>
            </w:r>
            <w:r w:rsidR="004A3F82">
              <w:rPr>
                <w:sz w:val="20"/>
              </w:rPr>
              <w:t>279</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133,</w:t>
            </w:r>
            <w:r w:rsidR="004A3F82">
              <w:rPr>
                <w:sz w:val="20"/>
              </w:rPr>
              <w:t>6</w:t>
            </w:r>
            <w:r>
              <w:rPr>
                <w:sz w:val="20"/>
              </w:rPr>
              <w:t>03</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4A3F82">
              <w:rPr>
                <w:sz w:val="20"/>
              </w:rPr>
              <w:t>5</w:t>
            </w:r>
            <w:r>
              <w:rPr>
                <w:sz w:val="20"/>
              </w:rPr>
              <w:t>,</w:t>
            </w:r>
            <w:r w:rsidR="004A3F82">
              <w:rPr>
                <w:sz w:val="20"/>
              </w:rPr>
              <w:t>291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135,</w:t>
            </w:r>
            <w:r w:rsidR="009F4AAE">
              <w:rPr>
                <w:sz w:val="20"/>
              </w:rPr>
              <w:t>7</w:t>
            </w:r>
            <w:r>
              <w:rPr>
                <w:sz w:val="20"/>
              </w:rPr>
              <w:t>71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w:t>
            </w:r>
            <w:r w:rsidR="009F4AAE">
              <w:rPr>
                <w:sz w:val="20"/>
              </w:rPr>
              <w:t>6</w:t>
            </w:r>
            <w:r>
              <w:rPr>
                <w:sz w:val="20"/>
              </w:rPr>
              <w:t>,</w:t>
            </w:r>
            <w:r w:rsidR="009F4AAE">
              <w:rPr>
                <w:sz w:val="20"/>
              </w:rPr>
              <w:t>2</w:t>
            </w:r>
            <w:r>
              <w:rPr>
                <w:sz w:val="20"/>
              </w:rPr>
              <w:t>71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w:t>
            </w:r>
            <w:r w:rsidR="009F4AAE">
              <w:rPr>
                <w:sz w:val="20"/>
              </w:rPr>
              <w:t>7</w:t>
            </w:r>
            <w:r>
              <w:rPr>
                <w:sz w:val="20"/>
              </w:rPr>
              <w:t>71</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139,</w:t>
            </w:r>
            <w:r w:rsidR="009F4AAE">
              <w:rPr>
                <w:sz w:val="20"/>
              </w:rPr>
              <w:t>7</w:t>
            </w:r>
            <w:r>
              <w:rPr>
                <w:sz w:val="20"/>
              </w:rPr>
              <w:t>07</w:t>
            </w:r>
          </w:p>
        </w:tc>
      </w:tr>
      <w:tr w:rsidR="00592EF2" w:rsidRPr="00625D94" w:rsidTr="00592EF2">
        <w:trPr>
          <w:trHeight w:val="282"/>
        </w:trPr>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Pop. Projection</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w:t>
            </w:r>
            <w:r>
              <w:rPr>
                <w:sz w:val="20"/>
              </w:rPr>
              <w:t>73</w:t>
            </w:r>
            <w:r w:rsidRPr="00625D94">
              <w:rPr>
                <w:sz w:val="20"/>
              </w:rPr>
              <w:t>,</w:t>
            </w:r>
            <w:r>
              <w:rPr>
                <w:sz w:val="20"/>
              </w:rPr>
              <w:t>289</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sidRPr="00625D94">
              <w:rPr>
                <w:sz w:val="20"/>
              </w:rPr>
              <w:t>17</w:t>
            </w:r>
            <w:r>
              <w:rPr>
                <w:sz w:val="20"/>
              </w:rPr>
              <w:t>5</w:t>
            </w:r>
            <w:r w:rsidRPr="00625D94">
              <w:rPr>
                <w:sz w:val="20"/>
              </w:rPr>
              <w:t>,</w:t>
            </w:r>
            <w:r>
              <w:rPr>
                <w:sz w:val="20"/>
              </w:rPr>
              <w:t>984</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181,272</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184,370</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187,060</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189,431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191,802</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194,174</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196,545</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Percent Overcrowded </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3</w:t>
            </w:r>
            <w:r>
              <w:rPr>
                <w:sz w:val="20"/>
              </w:rPr>
              <w:t>7</w:t>
            </w:r>
            <w:r w:rsidRPr="00625D94">
              <w:rPr>
                <w:sz w:val="20"/>
              </w:rPr>
              <w: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38</w:t>
            </w:r>
            <w:r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4A3F8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w:t>
            </w:r>
            <w:r w:rsidR="00592EF2"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w:t>
            </w:r>
            <w:r w:rsidR="004A3F82">
              <w:rPr>
                <w:sz w:val="20"/>
              </w:rPr>
              <w:t>8</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w:t>
            </w:r>
            <w:r w:rsidR="004A3F82">
              <w:rPr>
                <w:sz w:val="20"/>
              </w:rPr>
              <w:t>8</w:t>
            </w:r>
            <w:r>
              <w:rPr>
                <w:sz w:val="20"/>
              </w:rPr>
              <w:t>%</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42%</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Contract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3</w:t>
            </w:r>
            <w:r>
              <w:rPr>
                <w:sz w:val="20"/>
              </w:rPr>
              <w:t>6</w:t>
            </w:r>
            <w:r w:rsidRPr="00625D94">
              <w:rPr>
                <w:sz w:val="20"/>
              </w:rPr>
              <w:t>,</w:t>
            </w:r>
            <w:r>
              <w:rPr>
                <w:sz w:val="20"/>
              </w:rPr>
              <w:t>938</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231AB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40,27</w:t>
            </w:r>
            <w:r w:rsidR="00231AB9">
              <w:rPr>
                <w:sz w:val="20"/>
              </w:rPr>
              <w:t>8</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40</w:t>
            </w:r>
            <w:r w:rsidRPr="00625D94">
              <w:rPr>
                <w:sz w:val="20"/>
              </w:rPr>
              <w:t>,</w:t>
            </w:r>
            <w:r>
              <w:rPr>
                <w:sz w:val="20"/>
              </w:rPr>
              <w:t>61</w:t>
            </w:r>
            <w:r w:rsidR="004A3F82">
              <w:rPr>
                <w:sz w:val="20"/>
              </w:rPr>
              <w:t>5</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4A3F8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42,41</w:t>
            </w:r>
            <w:r w:rsidR="004A3F82">
              <w:rPr>
                <w:sz w:val="20"/>
              </w:rPr>
              <w:t>0</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44,17</w:t>
            </w:r>
            <w:r w:rsidR="004A3F82">
              <w:rPr>
                <w:sz w:val="20"/>
              </w:rPr>
              <w:t>7</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45,92</w:t>
            </w:r>
            <w:r w:rsidR="009F4AAE">
              <w:rPr>
                <w:sz w:val="20"/>
              </w:rPr>
              <w:t>5</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9F4AAE">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47,67</w:t>
            </w:r>
            <w:r w:rsidR="009F4AAE">
              <w:rPr>
                <w:sz w:val="20"/>
              </w:rPr>
              <w:t>2</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49,42</w:t>
            </w:r>
            <w:r w:rsidR="009F4AAE">
              <w:rPr>
                <w:sz w:val="20"/>
              </w:rPr>
              <w:t>0</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51,16</w:t>
            </w:r>
            <w:r w:rsidR="009F4AAE">
              <w:rPr>
                <w:sz w:val="20"/>
              </w:rPr>
              <w:t>8</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 xml:space="preserve"> Percent Contract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17.</w:t>
            </w:r>
            <w:r>
              <w:rPr>
                <w:sz w:val="20"/>
              </w:rPr>
              <w:t>6</w:t>
            </w:r>
            <w:r w:rsidRPr="00625D94">
              <w:rPr>
                <w:sz w:val="20"/>
              </w:rPr>
              <w:t>%</w:t>
            </w:r>
          </w:p>
        </w:tc>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1</w:t>
            </w:r>
            <w:r>
              <w:rPr>
                <w:sz w:val="20"/>
              </w:rPr>
              <w:t>8</w:t>
            </w:r>
            <w:r w:rsidRPr="00625D94">
              <w:rPr>
                <w:sz w:val="20"/>
              </w:rPr>
              <w:t>.</w:t>
            </w:r>
            <w:r>
              <w:rPr>
                <w:sz w:val="20"/>
              </w:rPr>
              <w:t>6</w:t>
            </w:r>
            <w:r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1</w:t>
            </w:r>
            <w:r>
              <w:rPr>
                <w:sz w:val="20"/>
              </w:rPr>
              <w:t>8</w:t>
            </w:r>
            <w:r w:rsidRPr="00625D94">
              <w:rPr>
                <w:sz w:val="20"/>
              </w:rPr>
              <w:t>.</w:t>
            </w:r>
            <w:r>
              <w:rPr>
                <w:sz w:val="20"/>
              </w:rPr>
              <w:t>3</w:t>
            </w:r>
            <w:r w:rsidRPr="00625D94">
              <w:rPr>
                <w:sz w:val="20"/>
              </w:rPr>
              <w:t>%</w:t>
            </w:r>
          </w:p>
        </w:tc>
        <w:tc>
          <w:tcPr>
            <w:tcW w:w="882" w:type="dxa"/>
            <w:tcBorders>
              <w:top w:val="single" w:sz="6" w:space="0" w:color="000000"/>
              <w:left w:val="single" w:sz="6" w:space="0" w:color="000000"/>
              <w:bottom w:val="single" w:sz="6" w:space="0" w:color="000000"/>
              <w:right w:val="single" w:sz="6" w:space="0" w:color="000000"/>
            </w:tcBorders>
            <w:shd w:val="clear" w:color="auto" w:fill="auto"/>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18.7%</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19.1%</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19.5%</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19.9%</w:t>
            </w:r>
          </w:p>
        </w:tc>
        <w:tc>
          <w:tcPr>
            <w:tcW w:w="882"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20.3%</w:t>
            </w:r>
          </w:p>
        </w:tc>
        <w:tc>
          <w:tcPr>
            <w:tcW w:w="988" w:type="dxa"/>
            <w:tcBorders>
              <w:top w:val="single" w:sz="6" w:space="0" w:color="000000"/>
              <w:left w:val="single" w:sz="6" w:space="0" w:color="000000"/>
              <w:bottom w:val="single" w:sz="6" w:space="0" w:color="000000"/>
              <w:right w:val="single" w:sz="6" w:space="0" w:color="000000"/>
            </w:tcBorders>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20.7%</w:t>
            </w:r>
          </w:p>
        </w:tc>
      </w:tr>
      <w:tr w:rsidR="00592EF2" w:rsidRPr="00625D94" w:rsidTr="00592EF2">
        <w:tc>
          <w:tcPr>
            <w:tcW w:w="182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sidRPr="00625D94">
              <w:rPr>
                <w:sz w:val="20"/>
              </w:rPr>
              <w:t>Total Federal Prison Population</w:t>
            </w:r>
          </w:p>
        </w:tc>
        <w:tc>
          <w:tcPr>
            <w:tcW w:w="899"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w:t>
            </w:r>
            <w:r>
              <w:rPr>
                <w:sz w:val="20"/>
              </w:rPr>
              <w:t>10</w:t>
            </w:r>
            <w:r w:rsidRPr="00625D94">
              <w:rPr>
                <w:sz w:val="20"/>
              </w:rPr>
              <w:t>,</w:t>
            </w:r>
            <w:r>
              <w:rPr>
                <w:sz w:val="20"/>
              </w:rPr>
              <w:t>227</w:t>
            </w:r>
          </w:p>
        </w:tc>
        <w:tc>
          <w:tcPr>
            <w:tcW w:w="899"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w:t>
            </w:r>
            <w:r>
              <w:rPr>
                <w:sz w:val="20"/>
              </w:rPr>
              <w:t>16,261</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sidRPr="00625D94">
              <w:rPr>
                <w:sz w:val="20"/>
              </w:rPr>
              <w:t>2</w:t>
            </w:r>
            <w:r>
              <w:rPr>
                <w:sz w:val="20"/>
              </w:rPr>
              <w:t>21,889</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226,781</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231,238</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235,357</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239,476</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243,595</w:t>
            </w:r>
          </w:p>
        </w:tc>
        <w:tc>
          <w:tcPr>
            <w:tcW w:w="988" w:type="dxa"/>
            <w:tcBorders>
              <w:top w:val="single" w:sz="6" w:space="0" w:color="000000"/>
              <w:left w:val="single" w:sz="6" w:space="0" w:color="000000"/>
              <w:bottom w:val="single" w:sz="6" w:space="0" w:color="000000"/>
              <w:right w:val="single" w:sz="6" w:space="0" w:color="000000"/>
            </w:tcBorders>
            <w:shd w:val="clear" w:color="auto" w:fill="99FFCC"/>
          </w:tcPr>
          <w:p w:rsidR="00592EF2" w:rsidRPr="00625D94" w:rsidRDefault="00592EF2" w:rsidP="00592EF2">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247,714</w:t>
            </w:r>
          </w:p>
        </w:tc>
      </w:tr>
    </w:tbl>
    <w:p w:rsidR="00592EF2" w:rsidRDefault="00592EF2" w:rsidP="00592EF2">
      <w:pPr>
        <w:pStyle w:val="Default"/>
        <w:rPr>
          <w:rFonts w:ascii="Times New Roman" w:hAnsi="Times New Roman"/>
          <w:color w:val="000000"/>
        </w:rPr>
      </w:pPr>
    </w:p>
    <w:p w:rsidR="00592EF2" w:rsidRDefault="00592EF2" w:rsidP="00592EF2">
      <w:pPr>
        <w:pStyle w:val="Default"/>
        <w:rPr>
          <w:rFonts w:ascii="Times New Roman" w:hAnsi="Times New Roman"/>
          <w:color w:val="000000"/>
        </w:rPr>
      </w:pPr>
      <w:r>
        <w:rPr>
          <w:rFonts w:ascii="Times New Roman" w:hAnsi="Times New Roman"/>
          <w:color w:val="000000"/>
        </w:rPr>
        <w:t xml:space="preserve">Note: The population projections are based on data and information from a variety of sources including the Administrative Office of the U.S. Courts, the U.S. Sentencing Commission, other DOJ components, and the BOP’s own information system (SENTRY).  </w:t>
      </w:r>
      <w:r w:rsidRPr="005401A1">
        <w:rPr>
          <w:rFonts w:ascii="Times New Roman" w:hAnsi="Times New Roman"/>
          <w:b/>
          <w:color w:val="000000"/>
        </w:rPr>
        <w:t>Additional capacity projections rely on future enactment of funding for contract beds, acquisitions, new construction, and activations.</w:t>
      </w:r>
    </w:p>
    <w:p w:rsidR="00592EF2" w:rsidRDefault="00592EF2" w:rsidP="00592EF2">
      <w:pPr>
        <w:pStyle w:val="Default"/>
        <w:rPr>
          <w:rFonts w:ascii="Times New Roman" w:hAnsi="Times New Roman"/>
          <w:color w:val="000000"/>
        </w:rPr>
      </w:pPr>
    </w:p>
    <w:p w:rsidR="006D4AAB" w:rsidRDefault="006D4AAB" w:rsidP="006D4AAB">
      <w:pPr>
        <w:pStyle w:val="BodyText"/>
      </w:pPr>
      <w:r>
        <w:t>Rated capacity is the baseline used to calculate prison crowding, and is essential to managing the BOP’s inmate population to distribute the population throughout the system efficiently and equitably.  The calculation for determining rated capacity involves stratified double bunking across all security levels and includes the follow</w:t>
      </w:r>
      <w:r w:rsidR="00BC71A5">
        <w:t>ing</w:t>
      </w:r>
      <w:r>
        <w:t xml:space="preserve"> formulas:  minimum and low security institutions at 100 percent double bunking; medium security </w:t>
      </w:r>
      <w:r>
        <w:lastRenderedPageBreak/>
        <w:t>institutions at 50 percent double bunking and; high security institutions at 25 percent double bunking.</w:t>
      </w:r>
    </w:p>
    <w:p w:rsidR="006D4AAB" w:rsidRDefault="006D4AAB" w:rsidP="006D4AAB">
      <w:pPr>
        <w:pStyle w:val="BodyText"/>
      </w:pPr>
    </w:p>
    <w:p w:rsidR="00C2116A" w:rsidRDefault="00C2116A" w:rsidP="00C2116A">
      <w:pPr>
        <w:widowControl w:val="0"/>
      </w:pPr>
      <w:r>
        <w:t>The B&amp;F appropriation is comp</w:t>
      </w:r>
      <w:r w:rsidR="00417AFE">
        <w:t>ri</w:t>
      </w:r>
      <w:r>
        <w:t>sed of two decision units</w:t>
      </w:r>
      <w:r w:rsidR="002836AC">
        <w:t xml:space="preserve">: </w:t>
      </w:r>
      <w:r>
        <w:t xml:space="preserve"> </w:t>
      </w:r>
      <w:r w:rsidR="001D26F2">
        <w:t>1)</w:t>
      </w:r>
      <w:r w:rsidR="00352618">
        <w:t xml:space="preserve"> </w:t>
      </w:r>
      <w:r w:rsidR="005401A1" w:rsidRPr="005401A1">
        <w:t>t</w:t>
      </w:r>
      <w:r w:rsidRPr="005401A1">
        <w:t xml:space="preserve">he </w:t>
      </w:r>
      <w:r w:rsidRPr="005401A1">
        <w:rPr>
          <w:u w:val="single"/>
        </w:rPr>
        <w:t>New Construction</w:t>
      </w:r>
      <w:r>
        <w:t xml:space="preserve"> decision unit includes funding to expand existing facilities and </w:t>
      </w:r>
      <w:r w:rsidR="00352618">
        <w:t xml:space="preserve">acquire or </w:t>
      </w:r>
      <w:r>
        <w:t>construct new facilities;</w:t>
      </w:r>
      <w:r w:rsidR="00352618">
        <w:t xml:space="preserve"> and</w:t>
      </w:r>
      <w:r>
        <w:t xml:space="preserve"> </w:t>
      </w:r>
      <w:r w:rsidR="001D26F2">
        <w:t>2)</w:t>
      </w:r>
      <w:r w:rsidR="00B95EA3">
        <w:t xml:space="preserve"> </w:t>
      </w:r>
      <w:r w:rsidR="005401A1" w:rsidRPr="005401A1">
        <w:t>t</w:t>
      </w:r>
      <w:r w:rsidRPr="005401A1">
        <w:t xml:space="preserve">he </w:t>
      </w:r>
      <w:r w:rsidRPr="005401A1">
        <w:rPr>
          <w:u w:val="single"/>
        </w:rPr>
        <w:t>Modernization and Repair (M&amp;R)</w:t>
      </w:r>
      <w:r>
        <w:t xml:space="preserve"> decision unit </w:t>
      </w:r>
      <w:r w:rsidR="00035581">
        <w:t>i</w:t>
      </w:r>
      <w:r w:rsidR="005401A1">
        <w:t>s intended to</w:t>
      </w:r>
      <w:r w:rsidR="000D5955">
        <w:t xml:space="preserve"> include</w:t>
      </w:r>
      <w:r>
        <w:t xml:space="preserve"> funding to maintain existing facilities in an adequate state of repair to provide a safe and secure </w:t>
      </w:r>
      <w:r w:rsidR="009234B3">
        <w:t>e</w:t>
      </w:r>
      <w:r>
        <w:t>nvironment to continue operations, thereby protecting taxpayer capital investments.</w:t>
      </w:r>
    </w:p>
    <w:p w:rsidR="006D4AAB" w:rsidRDefault="006D4AAB" w:rsidP="00C2116A">
      <w:pPr>
        <w:widowControl w:val="0"/>
      </w:pPr>
    </w:p>
    <w:p w:rsidR="001C388D" w:rsidRPr="001C388D" w:rsidRDefault="001C388D" w:rsidP="00C2116A">
      <w:pPr>
        <w:widowControl w:val="0"/>
      </w:pPr>
      <w:r w:rsidRPr="00597AEB">
        <w:t>For FY 2012, a total of $</w:t>
      </w:r>
      <w:r w:rsidR="00DA0E03" w:rsidRPr="00597AEB">
        <w:t>99</w:t>
      </w:r>
      <w:r w:rsidRPr="00597AEB">
        <w:t>,</w:t>
      </w:r>
      <w:r w:rsidR="00DA0E03" w:rsidRPr="00597AEB">
        <w:t>394</w:t>
      </w:r>
      <w:r w:rsidRPr="00597AEB">
        <w:t xml:space="preserve">,000 with 275 positions, and 256 FTEs </w:t>
      </w:r>
      <w:r w:rsidR="00417AFE" w:rsidRPr="00597AEB">
        <w:t>are</w:t>
      </w:r>
      <w:r w:rsidRPr="00597AEB">
        <w:t xml:space="preserve"> requested for the B&amp;F appropriation to support DOJ Strategic Goal 3:  Ensure the Fair and Efficient Administration of Justice.  This request </w:t>
      </w:r>
      <w:r w:rsidR="00E773F7">
        <w:t xml:space="preserve">funds the New Construction base program but does not provide funding for any additional New Construction projects, and it </w:t>
      </w:r>
      <w:r w:rsidR="004425DB" w:rsidRPr="00597AEB">
        <w:t xml:space="preserve">continues </w:t>
      </w:r>
      <w:r w:rsidR="00E92FC9" w:rsidRPr="00597AEB">
        <w:t xml:space="preserve">the </w:t>
      </w:r>
      <w:r w:rsidR="004425DB" w:rsidRPr="00597AEB">
        <w:t xml:space="preserve">prior year level </w:t>
      </w:r>
      <w:r w:rsidR="00454A0D" w:rsidRPr="00597AEB">
        <w:t xml:space="preserve">of </w:t>
      </w:r>
      <w:r w:rsidR="004425DB" w:rsidRPr="00597AEB">
        <w:t>base resources for the M&amp;R program</w:t>
      </w:r>
      <w:r w:rsidR="00E773F7">
        <w:t>.  In addition to this request,</w:t>
      </w:r>
      <w:r w:rsidR="00DA0E03" w:rsidRPr="00597AEB">
        <w:t xml:space="preserve"> a rescission of $35,000,000 in prior years’ unobligated </w:t>
      </w:r>
      <w:r w:rsidR="005401A1" w:rsidRPr="00597AEB">
        <w:t>N</w:t>
      </w:r>
      <w:r w:rsidR="00DA0E03" w:rsidRPr="00597AEB">
        <w:t xml:space="preserve">ew </w:t>
      </w:r>
      <w:r w:rsidR="005401A1" w:rsidRPr="00597AEB">
        <w:t>C</w:t>
      </w:r>
      <w:r w:rsidR="00DA0E03" w:rsidRPr="00597AEB">
        <w:t xml:space="preserve">onstruction balances is proposed.  The rescission </w:t>
      </w:r>
      <w:r w:rsidR="005401A1" w:rsidRPr="00597AEB">
        <w:t>reduces</w:t>
      </w:r>
      <w:r w:rsidR="00DA0E03" w:rsidRPr="00597AEB">
        <w:t xml:space="preserve"> $30,000,000 from the </w:t>
      </w:r>
      <w:r w:rsidR="00B76748" w:rsidRPr="00597AEB">
        <w:t>“</w:t>
      </w:r>
      <w:r w:rsidR="00DA0E03" w:rsidRPr="00597AEB">
        <w:t>Acquire Existing Institution for Higher Security FCI</w:t>
      </w:r>
      <w:r w:rsidR="00B76748" w:rsidRPr="00597AEB">
        <w:t>”</w:t>
      </w:r>
      <w:r w:rsidR="00DA0E03" w:rsidRPr="00597AEB">
        <w:t xml:space="preserve"> project and </w:t>
      </w:r>
      <w:r w:rsidR="005401A1" w:rsidRPr="00597AEB">
        <w:t xml:space="preserve">reduces </w:t>
      </w:r>
      <w:r w:rsidR="00DA0E03" w:rsidRPr="00597AEB">
        <w:t xml:space="preserve">$5,000,000 from the partially funded </w:t>
      </w:r>
      <w:r w:rsidR="00B76748" w:rsidRPr="00597AEB">
        <w:t>“</w:t>
      </w:r>
      <w:r w:rsidR="00DA0E03" w:rsidRPr="00597AEB">
        <w:t xml:space="preserve">FCI </w:t>
      </w:r>
      <w:r w:rsidR="00485272" w:rsidRPr="00597AEB">
        <w:t>Midwestern/</w:t>
      </w:r>
      <w:r w:rsidR="00DA0E03" w:rsidRPr="00597AEB">
        <w:t>Leavenworth, KS</w:t>
      </w:r>
      <w:r w:rsidR="00B76748" w:rsidRPr="00597AEB">
        <w:t>”</w:t>
      </w:r>
      <w:r w:rsidR="00DA0E03" w:rsidRPr="00597AEB">
        <w:t xml:space="preserve"> project.</w:t>
      </w:r>
    </w:p>
    <w:p w:rsidR="00EC2BCD" w:rsidRDefault="00EC2BCD" w:rsidP="004425DB"/>
    <w:p w:rsidR="00176A65" w:rsidRDefault="001D26F2" w:rsidP="004425DB">
      <w:r>
        <w:t xml:space="preserve">As a strategy to try to keep pace with inmate population growth, the BOP continues to rely on </w:t>
      </w:r>
      <w:r w:rsidR="005E4306">
        <w:t xml:space="preserve">funding for </w:t>
      </w:r>
      <w:r>
        <w:t>a combination of contracts with private, state, and local vendors; increasing use of residential reentry centers</w:t>
      </w:r>
      <w:r w:rsidR="00E155C5">
        <w:t xml:space="preserve"> and home confinement</w:t>
      </w:r>
      <w:r>
        <w:t>; expansions of existing facilities where infrastructure permits; acqui</w:t>
      </w:r>
      <w:r w:rsidR="00352618">
        <w:t>sition</w:t>
      </w:r>
      <w:r>
        <w:t xml:space="preserve"> and renovat</w:t>
      </w:r>
      <w:r w:rsidR="00352618">
        <w:t>ion of</w:t>
      </w:r>
      <w:r>
        <w:t xml:space="preserve"> existing structures; and new prison construction.</w:t>
      </w:r>
      <w:r w:rsidR="005E4306">
        <w:t xml:space="preserve">  </w:t>
      </w:r>
      <w:r w:rsidR="006D4AAB">
        <w:t xml:space="preserve">Current </w:t>
      </w:r>
      <w:r w:rsidR="004425DB">
        <w:t>inmate crowding levels are at 5</w:t>
      </w:r>
      <w:r w:rsidR="00DA0E03">
        <w:t>1</w:t>
      </w:r>
      <w:r w:rsidR="006D4AAB">
        <w:t xml:space="preserve"> percent over rated capacity at</w:t>
      </w:r>
      <w:r w:rsidR="004425DB">
        <w:t xml:space="preserve"> high security facilities and 4</w:t>
      </w:r>
      <w:r w:rsidR="00DA0E03">
        <w:t>1</w:t>
      </w:r>
      <w:r w:rsidR="006D4AAB">
        <w:t xml:space="preserve"> percent at medium security facilities.  As the population increases</w:t>
      </w:r>
      <w:r w:rsidR="00EF753A">
        <w:t>,</w:t>
      </w:r>
      <w:r w:rsidR="006D4AAB">
        <w:t xml:space="preserve"> </w:t>
      </w:r>
      <w:r w:rsidR="007E4015">
        <w:t xml:space="preserve">and insufficient </w:t>
      </w:r>
      <w:r w:rsidR="006D4AAB">
        <w:t xml:space="preserve">capacity </w:t>
      </w:r>
      <w:r w:rsidR="007E4015">
        <w:t>continues</w:t>
      </w:r>
      <w:r w:rsidR="00EF753A">
        <w:t>,</w:t>
      </w:r>
      <w:r w:rsidR="006D4AAB">
        <w:t xml:space="preserve"> the prison system </w:t>
      </w:r>
      <w:r w:rsidR="005401A1">
        <w:t>is challenged to maintain a safe and secure</w:t>
      </w:r>
      <w:r w:rsidR="006D4AAB">
        <w:t xml:space="preserve"> environment for staff and inmates</w:t>
      </w:r>
      <w:r w:rsidR="00EF753A">
        <w:t>.</w:t>
      </w:r>
      <w:r w:rsidR="006D4AAB">
        <w:t xml:space="preserve">  </w:t>
      </w:r>
    </w:p>
    <w:p w:rsidR="004425DB" w:rsidRDefault="004425DB" w:rsidP="004425DB"/>
    <w:p w:rsidR="006628A5" w:rsidRDefault="006628A5" w:rsidP="00662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7E4015">
        <w:t xml:space="preserve">purpose of the </w:t>
      </w:r>
      <w:r>
        <w:t xml:space="preserve">M&amp;R program </w:t>
      </w:r>
      <w:r w:rsidR="007E4015">
        <w:t>is to</w:t>
      </w:r>
      <w:r w:rsidR="005E4306">
        <w:t xml:space="preserve"> provide </w:t>
      </w:r>
      <w:r w:rsidR="007E4015">
        <w:t xml:space="preserve">the </w:t>
      </w:r>
      <w:r w:rsidR="009E5FC2">
        <w:t xml:space="preserve">necessary </w:t>
      </w:r>
      <w:r w:rsidR="007E4015">
        <w:t xml:space="preserve">resources to undertake </w:t>
      </w:r>
      <w:r>
        <w:t>essential rehabilitation, modernization and renovation of buildings, other structures, and associated systems, necessary modifications to meet legal requirements and accommodate correctional programs, repair or replacement of utilities systems and other critical infrastructure and repair projects at existing institutions in order to keep all systems and structures in a</w:t>
      </w:r>
      <w:r w:rsidR="001D26F2">
        <w:t xml:space="preserve">n adequate </w:t>
      </w:r>
      <w:r>
        <w:t>state of repair.  Proper maintenance, modernization, and repair of BOP institutions</w:t>
      </w:r>
      <w:r w:rsidR="00E155C5">
        <w:t xml:space="preserve"> </w:t>
      </w:r>
      <w:r w:rsidR="007F17D1">
        <w:t>are</w:t>
      </w:r>
      <w:r>
        <w:t xml:space="preserve"> essential.  Failure to adequately maintain structures and utility systems erodes capital investment and multiplies the costs in future years for accomplishing the required maintenance and repair.  Most important</w:t>
      </w:r>
      <w:r w:rsidR="005E4306">
        <w:t>ly</w:t>
      </w:r>
      <w:r>
        <w:t>, failure to maintain structures can cause direct and/or indirect security problems.</w:t>
      </w:r>
    </w:p>
    <w:p w:rsidR="006628A5" w:rsidRDefault="006628A5" w:rsidP="00AA0BA5"/>
    <w:p w:rsidR="009578AF" w:rsidRDefault="009578AF" w:rsidP="00AA0BA5">
      <w:r>
        <w:t>As stated in the Inspector General’s memo dated November 13, 2009, regarding Top Management and Performance Challenges in the Department of Justice, “With approximately one-third of BOP’s 116 institutions 50 years or older, the increasing prison population also exacerbates a challenge for the BOP in repairing failing infrastructure at these institutions</w:t>
      </w:r>
      <w:r w:rsidR="00927EF1">
        <w:t>”</w:t>
      </w:r>
      <w:r>
        <w:t>.</w:t>
      </w:r>
    </w:p>
    <w:p w:rsidR="009578AF" w:rsidRDefault="009578AF" w:rsidP="00AA0BA5"/>
    <w:p w:rsidR="009578AF" w:rsidRDefault="00C93DE5" w:rsidP="00AA0BA5">
      <w:r>
        <w:t xml:space="preserve">The BOP’s goal is to maintain a safe and productive environment for staff and inmates.  However, the </w:t>
      </w:r>
      <w:r w:rsidR="00372A7B">
        <w:t xml:space="preserve">level of </w:t>
      </w:r>
      <w:r>
        <w:t xml:space="preserve">annual resources </w:t>
      </w:r>
      <w:r w:rsidR="00546E56">
        <w:t xml:space="preserve">being </w:t>
      </w:r>
      <w:r>
        <w:t xml:space="preserve">provided for the M&amp;R program only allows </w:t>
      </w:r>
      <w:r>
        <w:lastRenderedPageBreak/>
        <w:t>the BOP to band-aid the major infrastructure and life safety problems and to address only a handful of required repairs each fiscal year.  There are 11</w:t>
      </w:r>
      <w:r w:rsidR="00227516">
        <w:t>6</w:t>
      </w:r>
      <w:r>
        <w:t xml:space="preserve"> existing BOP institutions</w:t>
      </w:r>
      <w:r w:rsidR="00372A7B">
        <w:t xml:space="preserve">.  </w:t>
      </w:r>
      <w:r w:rsidR="00483C67">
        <w:t>W</w:t>
      </w:r>
      <w:r>
        <w:t xml:space="preserve">ithin the </w:t>
      </w:r>
      <w:r w:rsidR="009578AF">
        <w:t>constrained</w:t>
      </w:r>
      <w:r w:rsidR="00483C67">
        <w:t xml:space="preserve"> resources dedicated to the </w:t>
      </w:r>
      <w:r>
        <w:t>M&amp;R program</w:t>
      </w:r>
      <w:r w:rsidR="00F4749D">
        <w:t>,</w:t>
      </w:r>
      <w:r>
        <w:t xml:space="preserve"> </w:t>
      </w:r>
      <w:r w:rsidR="00927EF1">
        <w:t>approximately</w:t>
      </w:r>
      <w:r>
        <w:t xml:space="preserve"> 20 major system</w:t>
      </w:r>
      <w:r w:rsidR="003F3EC9">
        <w:t xml:space="preserve"> replacement projects </w:t>
      </w:r>
      <w:r w:rsidR="009578AF">
        <w:t xml:space="preserve">(of the 134 on the waiting list) </w:t>
      </w:r>
      <w:r w:rsidR="003F3EC9">
        <w:t>are able to be funded annually</w:t>
      </w:r>
      <w:r w:rsidR="00C959BA">
        <w:t xml:space="preserve"> (i.e. fence, roofs, HVAC, fire alarms)</w:t>
      </w:r>
      <w:r w:rsidR="003F3EC9">
        <w:t xml:space="preserve">.  </w:t>
      </w:r>
      <w:r w:rsidR="00483C67">
        <w:t>P</w:t>
      </w:r>
      <w:r w:rsidR="00F25689">
        <w:t>roper maintenance</w:t>
      </w:r>
      <w:r w:rsidR="00483C67">
        <w:t xml:space="preserve"> is necessary to address failing systems to avoid significant deterioration and larger future replacement costs.</w:t>
      </w:r>
    </w:p>
    <w:p w:rsidR="00C93DE5" w:rsidRDefault="00483C67" w:rsidP="00AA0BA5">
      <w:r>
        <w:t xml:space="preserve">   </w:t>
      </w:r>
    </w:p>
    <w:p w:rsidR="00FA22F4" w:rsidRDefault="00FA22F4" w:rsidP="00FA22F4">
      <w:pPr>
        <w:widowControl w:val="0"/>
      </w:pPr>
      <w:bookmarkStart w:id="0" w:name="OLE_LINK2"/>
      <w:r>
        <w:t xml:space="preserve">DOJ completed </w:t>
      </w:r>
      <w:r w:rsidR="007E4015">
        <w:t>implementation</w:t>
      </w:r>
      <w:r>
        <w:t xml:space="preserve"> of the Asset Management Plan (AMP) system achieving compliance with the Real Property Management initiative from OMB.  The AMP inventories all real property and related information and tracks repair needs.  This </w:t>
      </w:r>
      <w:r w:rsidR="00F4749D">
        <w:t xml:space="preserve">is a </w:t>
      </w:r>
      <w:r>
        <w:t xml:space="preserve">significant DOJ </w:t>
      </w:r>
      <w:r w:rsidR="00F4749D">
        <w:t xml:space="preserve">and BOP </w:t>
      </w:r>
      <w:r>
        <w:t>accomplishment</w:t>
      </w:r>
      <w:r w:rsidR="007E4015">
        <w:t xml:space="preserve"> a</w:t>
      </w:r>
      <w:r w:rsidR="005401A1">
        <w:t>s</w:t>
      </w:r>
      <w:r>
        <w:t xml:space="preserve"> the Federal Prison System accounts for over 90 percent of all of DOJ’s capital assets.</w:t>
      </w:r>
    </w:p>
    <w:bookmarkEnd w:id="0"/>
    <w:p w:rsidR="006628A5" w:rsidRDefault="006628A5" w:rsidP="00C2116A">
      <w:pPr>
        <w:widowControl w:val="0"/>
        <w:rPr>
          <w:b/>
        </w:rPr>
      </w:pPr>
    </w:p>
    <w:p w:rsidR="0000613A" w:rsidRDefault="0000613A" w:rsidP="00C2116A">
      <w:pPr>
        <w:widowControl w:val="0"/>
      </w:pPr>
      <w:r>
        <w:t xml:space="preserve">In accordance with the Administration’s direction to focus on place-based policies and initiatives [M-09-28], the BOP has a long standing practice of locating many of its new Federal prisons in rural areas.  As stated in the White House memo “The prosperity, equity, sustainability, and livability of neighborhoods, cities and towns, and larger regions depend on the ability of the Federal government to enable locally-driven, integrated, and place-conscious solutions guided by meaningful measures, not disparate or redundant programs which neglect their impact on regional development.”  The BOP’s positive impact on rural communities is significant.  </w:t>
      </w:r>
      <w:r w:rsidR="00F4749D">
        <w:t>By</w:t>
      </w:r>
      <w:r>
        <w:t xml:space="preserve"> bringing in new federal jobs, stimulation</w:t>
      </w:r>
      <w:r w:rsidR="00160192">
        <w:t xml:space="preserve"> of</w:t>
      </w:r>
      <w:r>
        <w:t xml:space="preserve"> local businesses and housing, contracting with hospitals and other local vendors, and coordinating with local law enforcement, the BOP improves the economy of the town and the entire region where these rural facilities are located.</w:t>
      </w:r>
    </w:p>
    <w:p w:rsidR="0000613A" w:rsidRDefault="0000613A" w:rsidP="00C2116A">
      <w:pPr>
        <w:widowControl w:val="0"/>
        <w:rPr>
          <w:b/>
        </w:rPr>
      </w:pPr>
    </w:p>
    <w:p w:rsidR="00C2116A" w:rsidRPr="00AA0BA5" w:rsidRDefault="00AA0BA5" w:rsidP="00C2116A">
      <w:pPr>
        <w:widowControl w:val="0"/>
        <w:rPr>
          <w:b/>
        </w:rPr>
      </w:pPr>
      <w:r w:rsidRPr="00AA0BA5">
        <w:rPr>
          <w:b/>
        </w:rPr>
        <w:t>Environmental Accountability</w:t>
      </w:r>
    </w:p>
    <w:p w:rsidR="00AA0BA5" w:rsidRDefault="00AA0BA5" w:rsidP="00C2116A">
      <w:pPr>
        <w:widowControl w:val="0"/>
      </w:pPr>
    </w:p>
    <w:p w:rsidR="000E0A36" w:rsidRPr="000E0A36" w:rsidRDefault="000E0A36" w:rsidP="000E0A36">
      <w:r w:rsidRPr="000E0A36">
        <w:t>The BOP continues its progress of improving environmental and energy performance.  The BOP is aggressively pursuing the Energy Saving Performance Contract (ESPC) finance mechanism permitted by Executive Order 13423 and Energy Policy Act.  Twenty-five ESPCs have been initiated over the last t</w:t>
      </w:r>
      <w:r w:rsidR="0037427D">
        <w:t>hree</w:t>
      </w:r>
      <w:r w:rsidRPr="000E0A36">
        <w:t xml:space="preserve"> years, and the BOP has moved forward with ESPCs at twenty institutions.  As part of these projects, the BOP is implementing green initiatives such as solar power, wind turbines, biomass boilers, lighting upgrades, water conservation retrofits, heating and cooling equipment replacement, and many other energy saving measures.</w:t>
      </w:r>
    </w:p>
    <w:p w:rsidR="000E0A36" w:rsidRPr="000E0A36" w:rsidRDefault="000E0A36" w:rsidP="000E0A36"/>
    <w:p w:rsidR="000E0A36" w:rsidRPr="000E0A36" w:rsidRDefault="000E0A36" w:rsidP="000E0A36">
      <w:r w:rsidRPr="000E0A36">
        <w:t>For example, at the Federal Correctional Complex (FCC) in Victorville, CA, an ESPC was utilized to install a 750 kW wind turbine and a 74.5</w:t>
      </w:r>
      <w:r w:rsidR="005A62E6">
        <w:t xml:space="preserve"> </w:t>
      </w:r>
      <w:r w:rsidRPr="000E0A36">
        <w:t>kW photovoltaic array with new integrated HVAC controls for a total savings of 13.2 billion BTU’s over the last few years.   This forward thinking approach has been presented in the Boston Business Journal in 2005.  In 2007, FCC Victorville initiated an aluminum can recycling program that diverted more than 3,500 pounds of aluminum cans from the local landfill.  During FY 2008, the institution expanded services to include virtually all ferrous and nonferrous metals, textiles, plastic oils, antifreeze, batteries, tires, cardboard, paper, construction debris pallets, e-waste, glass toner cartridges, light bulbs and sawdust.</w:t>
      </w:r>
    </w:p>
    <w:p w:rsidR="000E0A36" w:rsidRPr="000E0A36" w:rsidRDefault="000E0A36" w:rsidP="000E0A36"/>
    <w:p w:rsidR="000E0A36" w:rsidRPr="000E0A36" w:rsidRDefault="000E0A36" w:rsidP="000E0A36">
      <w:r w:rsidRPr="000E0A36">
        <w:lastRenderedPageBreak/>
        <w:t>USP Hazelton, WV has a prison sanitation “green purchasing” project which involves the institution purchasing 100 percent, green seal-certified, bio-based, or environmentally-friendly sanitation supplies.  The USP continually seeks out the best solutions to its sanitation needs – i.e. those that are safe, cost-effective, and minimize negative impact on the environment.</w:t>
      </w:r>
    </w:p>
    <w:p w:rsidR="000E0A36" w:rsidRPr="000E0A36" w:rsidRDefault="000E0A36" w:rsidP="000E0A36"/>
    <w:p w:rsidR="000E0A36" w:rsidRPr="000E0A36" w:rsidRDefault="000E0A36" w:rsidP="000E0A36">
      <w:r w:rsidRPr="000E0A36">
        <w:t>Over the last four years, the BOP’s ESPC Program has won the following national awards:</w:t>
      </w:r>
    </w:p>
    <w:p w:rsidR="000E0A36" w:rsidRPr="000E0A36" w:rsidRDefault="000E0A36" w:rsidP="000E0A36">
      <w:pPr>
        <w:numPr>
          <w:ilvl w:val="0"/>
          <w:numId w:val="20"/>
        </w:numPr>
      </w:pPr>
      <w:r w:rsidRPr="000E0A36">
        <w:t>2006 DOE Small Team Award for the FCC Victorville Project</w:t>
      </w:r>
    </w:p>
    <w:p w:rsidR="000E0A36" w:rsidRPr="000E0A36" w:rsidRDefault="000E0A36" w:rsidP="000E0A36">
      <w:pPr>
        <w:numPr>
          <w:ilvl w:val="0"/>
          <w:numId w:val="20"/>
        </w:numPr>
      </w:pPr>
      <w:r w:rsidRPr="000E0A36">
        <w:t>2007 Presidential Award for Leadership in Federal Energy Management</w:t>
      </w:r>
    </w:p>
    <w:p w:rsidR="000E0A36" w:rsidRPr="000E0A36" w:rsidRDefault="000E0A36" w:rsidP="000E0A36">
      <w:pPr>
        <w:numPr>
          <w:ilvl w:val="0"/>
          <w:numId w:val="20"/>
        </w:numPr>
      </w:pPr>
      <w:r w:rsidRPr="000E0A36">
        <w:t>2007 GSA Award for the “Greening of Prisons”</w:t>
      </w:r>
    </w:p>
    <w:p w:rsidR="000E0A36" w:rsidRPr="000E0A36" w:rsidRDefault="000E0A36" w:rsidP="000E0A36">
      <w:pPr>
        <w:numPr>
          <w:ilvl w:val="0"/>
          <w:numId w:val="20"/>
        </w:numPr>
      </w:pPr>
      <w:r w:rsidRPr="000E0A36">
        <w:t>2009 DOJ Energy and Environmental Awards to USP Hazelton and FCC Victorville</w:t>
      </w:r>
    </w:p>
    <w:p w:rsidR="000E0A36" w:rsidRPr="000E0A36" w:rsidRDefault="000E0A36" w:rsidP="000E0A36"/>
    <w:p w:rsidR="000E0A36" w:rsidRPr="000E0A36" w:rsidRDefault="000E0A36" w:rsidP="000E0A36">
      <w:r w:rsidRPr="000E0A36">
        <w:t xml:space="preserve">In addition to ESPCs, the BOP is also pursuing </w:t>
      </w:r>
      <w:proofErr w:type="gramStart"/>
      <w:r w:rsidRPr="000E0A36">
        <w:t>numerous energy conservation</w:t>
      </w:r>
      <w:proofErr w:type="gramEnd"/>
      <w:r w:rsidRPr="000E0A36">
        <w:t xml:space="preserve"> and greening projects via traditional methods.  As an example, the BOP has recently signed a contract </w:t>
      </w:r>
      <w:proofErr w:type="gramStart"/>
      <w:r w:rsidRPr="000E0A36">
        <w:t>with  Lycoming</w:t>
      </w:r>
      <w:proofErr w:type="gramEnd"/>
      <w:r w:rsidRPr="000E0A36">
        <w:t xml:space="preserve"> County, Pennsylvania, to utilize methane gas from a landfill to provide electricity and hot water to the Federal Correctional Complex in Allenwood, PA.</w:t>
      </w:r>
    </w:p>
    <w:p w:rsidR="000E0A36" w:rsidRPr="000E0A36" w:rsidRDefault="000E0A36" w:rsidP="000E0A36"/>
    <w:p w:rsidR="000E0A36" w:rsidRPr="000E0A36" w:rsidRDefault="000E0A36" w:rsidP="000E0A36">
      <w:r w:rsidRPr="000E0A36">
        <w:t xml:space="preserve">The FCC in </w:t>
      </w:r>
      <w:smartTag w:uri="urn:schemas-microsoft-com:office:smarttags" w:element="place">
        <w:smartTag w:uri="urn:schemas-microsoft-com:office:smarttags" w:element="City">
          <w:r w:rsidRPr="000E0A36">
            <w:t>Butner</w:t>
          </w:r>
        </w:smartTag>
        <w:r w:rsidRPr="000E0A36">
          <w:t xml:space="preserve">, </w:t>
        </w:r>
        <w:smartTag w:uri="urn:schemas-microsoft-com:office:smarttags" w:element="State">
          <w:r w:rsidRPr="000E0A36">
            <w:t>NC</w:t>
          </w:r>
        </w:smartTag>
      </w:smartTag>
      <w:r w:rsidRPr="000E0A36">
        <w:t xml:space="preserve"> is one of the first prisons in the country to be LEED “Certified”.  The Leadership in Energy and Environmental Design (LEED) Green Building Rating System is the nationally accepted benchmark for design, construction and operation of high performance sustainable buildings.  As part of this certification, these assets received points for a sustainable site, water efficiency, energy/atmosphere, materials/resources, indoor air quality and innovative designs.  Currently, new prisons are being built in Yazoo City, MS, Aliceville, A</w:t>
      </w:r>
      <w:r w:rsidR="002F1C44">
        <w:t>L</w:t>
      </w:r>
      <w:r w:rsidRPr="000E0A36">
        <w:t xml:space="preserve">, and Hazelton, WV.  All three of these prisons will be at a minimum, LEED “Certified”.    </w:t>
      </w:r>
    </w:p>
    <w:p w:rsidR="000E0A36" w:rsidRPr="000E0A36" w:rsidRDefault="000E0A36" w:rsidP="000E0A36"/>
    <w:p w:rsidR="000E0A36" w:rsidRPr="000E0A36" w:rsidRDefault="000E0A36" w:rsidP="000E0A36">
      <w:r w:rsidRPr="000E0A36">
        <w:t xml:space="preserve">In an effort to conserve energy system-wide, the BOP Director implemented an Energy Conservation Initiative in 2006.  This initiative employs integrated design principles, optimization of energy performance and operational changes.  As part of this initiative, the BOP reduced the consumption of electricity, natural gas, fuel oil, gasoline and water.  This resulted in a 2 percent reduction in energy consumption over the fiscal year.  Also, the BOP implemented additional water conservation initiatives in 2009 to reduce water consumption throughout the system.  </w:t>
      </w:r>
    </w:p>
    <w:p w:rsidR="000E0A36" w:rsidRPr="000E0A36" w:rsidRDefault="000E0A36" w:rsidP="000E0A36"/>
    <w:p w:rsidR="000E0A36" w:rsidRPr="000E0A36" w:rsidRDefault="000E0A36" w:rsidP="000E0A36">
      <w:r w:rsidRPr="000E0A36">
        <w:t xml:space="preserve">Four ESPCs in the final stages of construction or recently completed.  Most of the Energy Conservation Measures (ECMs) are in place and already having a significant impact on the facilities consumption of water and energy.  The four institutions are the Federal Correctional Institution (FCI) Englewood, CO; FCI Big Spring, TX; Federal Correctional Complex (FCC) Victorville, CA; and FCC Petersburg.  The combined acreage for the four institutions is 2,518 and the total building space is 3,580,000 square feet.  The four institutions have a total of 28 ECMs.  The ECMs included water management, sub-metering, control upgrades, wind energy, solar PV, solar thermal, biomass, geothermal, lighting, HVAC and plumbing upgrades, and electric vehicles.  The combined impact of the energy savings and emissions reductions generated by these ECMs is allowing the BOP to make a significant contribution to the reduction of federal </w:t>
      </w:r>
      <w:r w:rsidR="00704D38" w:rsidRPr="000E0A36">
        <w:t>greenhouse</w:t>
      </w:r>
      <w:r w:rsidRPr="000E0A36">
        <w:t xml:space="preserve"> gas emissions.  Total emissions reductions for the four sites include CO2 24,705,781 </w:t>
      </w:r>
      <w:r w:rsidR="00704D38" w:rsidRPr="000E0A36">
        <w:t>lbs</w:t>
      </w:r>
      <w:proofErr w:type="gramStart"/>
      <w:r w:rsidR="00704D38" w:rsidRPr="000E0A36">
        <w:t>.</w:t>
      </w:r>
      <w:r w:rsidRPr="000E0A36">
        <w:t>/</w:t>
      </w:r>
      <w:proofErr w:type="gramEnd"/>
      <w:r w:rsidR="00704D38" w:rsidRPr="000E0A36">
        <w:t>yr.</w:t>
      </w:r>
      <w:r w:rsidRPr="000E0A36">
        <w:t xml:space="preserve">, </w:t>
      </w:r>
      <w:r w:rsidRPr="000E0A36">
        <w:lastRenderedPageBreak/>
        <w:t xml:space="preserve">NOx 19,693 </w:t>
      </w:r>
      <w:r w:rsidR="00704D38" w:rsidRPr="000E0A36">
        <w:t>lbs.</w:t>
      </w:r>
      <w:r w:rsidRPr="000E0A36">
        <w:t>/</w:t>
      </w:r>
      <w:r w:rsidR="00704D38" w:rsidRPr="000E0A36">
        <w:t>yr.</w:t>
      </w:r>
      <w:r w:rsidRPr="000E0A36">
        <w:t xml:space="preserve">, and SOx 25,348 </w:t>
      </w:r>
      <w:r w:rsidR="00704D38" w:rsidRPr="000E0A36">
        <w:t>lbs.</w:t>
      </w:r>
      <w:r w:rsidRPr="000E0A36">
        <w:t xml:space="preserve">/yr.  Additionally, reductions in water and energy usage are decreasing the BOP’s environmental footprint on a national level. </w:t>
      </w:r>
    </w:p>
    <w:p w:rsidR="000E0A36" w:rsidRPr="000E0A36" w:rsidRDefault="000E0A36" w:rsidP="000E0A36">
      <w:r w:rsidRPr="000E0A36">
        <w:t>The consolidated projected savings for the four sites are electrical 12,036,552 KWh/</w:t>
      </w:r>
      <w:r w:rsidR="00704D38" w:rsidRPr="000E0A36">
        <w:t>yr.</w:t>
      </w:r>
      <w:r w:rsidRPr="000E0A36">
        <w:t>, natural gas 118,286 MBtu/</w:t>
      </w:r>
      <w:r w:rsidR="00704D38" w:rsidRPr="000E0A36">
        <w:t>yr.</w:t>
      </w:r>
      <w:r w:rsidRPr="000E0A36">
        <w:t>, water 126,302 KGal/</w:t>
      </w:r>
      <w:r w:rsidR="00704D38" w:rsidRPr="000E0A36">
        <w:t>yr.</w:t>
      </w:r>
      <w:r w:rsidRPr="000E0A36">
        <w:t>, and sewage 70</w:t>
      </w:r>
      <w:proofErr w:type="gramStart"/>
      <w:r w:rsidRPr="000E0A36">
        <w:t>,9000</w:t>
      </w:r>
      <w:proofErr w:type="gramEnd"/>
      <w:r w:rsidRPr="000E0A36">
        <w:t xml:space="preserve"> KGal/yr.  Implementation of ESPCs and agency funded projects has significantly assisted the BOP in meeting its goals and the requirements of federal energy related statutory laws and regulations.</w:t>
      </w:r>
    </w:p>
    <w:p w:rsidR="000E0A36" w:rsidRPr="000E0A36" w:rsidRDefault="000E0A36" w:rsidP="000E0A36"/>
    <w:p w:rsidR="000E0A36" w:rsidRPr="000E0A36" w:rsidRDefault="000E0A36" w:rsidP="000E0A36">
      <w:r w:rsidRPr="000E0A36">
        <w:t xml:space="preserve">The BOP has a very ambitious recycling program.  As an example, the Safety Department at the FCC in </w:t>
      </w:r>
      <w:smartTag w:uri="urn:schemas-microsoft-com:office:smarttags" w:element="place">
        <w:smartTag w:uri="urn:schemas-microsoft-com:office:smarttags" w:element="City">
          <w:r w:rsidRPr="000E0A36">
            <w:t>Lompoc</w:t>
          </w:r>
        </w:smartTag>
        <w:r w:rsidRPr="000E0A36">
          <w:t xml:space="preserve">, </w:t>
        </w:r>
        <w:smartTag w:uri="urn:schemas-microsoft-com:office:smarttags" w:element="State">
          <w:r w:rsidRPr="000E0A36">
            <w:t>California</w:t>
          </w:r>
        </w:smartTag>
      </w:smartTag>
      <w:r w:rsidRPr="000E0A36">
        <w:t>, operates a multi-faceted recycling and environmental awareness operation.  The institution employs several inmate workers to sort recyclable materials throughout the complex.  In FY 2007, FCC Lompoc’s recycling efforts kept 320,000 tons of recyclables, such as wood, cardboard, ferrous metals, non-ferrous metals, tires, batteries, anti-freeze, engine oil, cooking oil, wood pallets, plastics, light bulbs, computers and paper from entering the Nation’s waste stream.  The recycling program generated $28,885 in FY 2007 and saved more than $24,000 in land fill disposal fees.</w:t>
      </w:r>
    </w:p>
    <w:p w:rsidR="000E0A36" w:rsidRPr="000E0A36" w:rsidRDefault="000E0A36" w:rsidP="000E0A36"/>
    <w:p w:rsidR="000E0A36" w:rsidRPr="000E0A36" w:rsidRDefault="000E0A36" w:rsidP="000E0A36">
      <w:r w:rsidRPr="000E0A36">
        <w:t xml:space="preserve">The BOP has six institutions that have various size bio-diesel operations.  At these facilities, waste kitchen grease is converted into bio-diesel, and is used in vehicles and lawn equipment.  The United States Penitentiary in Big Sandy, Kentucky produces over 500 gallons of bio-diesel per month.  The BOP anticipates this program will be expanded to most institutions over the next few years.  </w:t>
      </w:r>
    </w:p>
    <w:p w:rsidR="000E0A36" w:rsidRDefault="000E0A36">
      <w:pPr>
        <w:rPr>
          <w:b/>
        </w:rPr>
      </w:pPr>
    </w:p>
    <w:p w:rsidR="00A45E7F" w:rsidRPr="00425851" w:rsidRDefault="00A45E7F">
      <w:pPr>
        <w:rPr>
          <w:b/>
        </w:rPr>
      </w:pPr>
      <w:r w:rsidRPr="00425851">
        <w:rPr>
          <w:b/>
        </w:rPr>
        <w:t>FY 201</w:t>
      </w:r>
      <w:r w:rsidR="004F5EFE">
        <w:rPr>
          <w:b/>
        </w:rPr>
        <w:t>2</w:t>
      </w:r>
      <w:r w:rsidRPr="00425851">
        <w:rPr>
          <w:b/>
        </w:rPr>
        <w:t xml:space="preserve"> Total Bureau of Prisons Request by DOJ Strategic Goal</w:t>
      </w:r>
    </w:p>
    <w:p w:rsidR="00A45E7F" w:rsidRDefault="00A45E7F"/>
    <w:p w:rsidR="00A45E7F" w:rsidRDefault="00A45E7F">
      <w:r>
        <w:t>The BOP’s mission plays a direct role in supporting DOJ, Strategic Goal 3:  Ensure the Fair and Efficient Administration of Just</w:t>
      </w:r>
      <w:r w:rsidR="00B650E8">
        <w:t>ice.  For FY 201</w:t>
      </w:r>
      <w:r w:rsidR="004F5EFE">
        <w:t>2</w:t>
      </w:r>
      <w:r w:rsidR="00B650E8">
        <w:t>, a total of $</w:t>
      </w:r>
      <w:r w:rsidR="00036F20">
        <w:t>99</w:t>
      </w:r>
      <w:r w:rsidR="004D758C">
        <w:t>,</w:t>
      </w:r>
      <w:r w:rsidR="00036F20">
        <w:t>394</w:t>
      </w:r>
      <w:r>
        <w:t>,</w:t>
      </w:r>
      <w:r w:rsidR="00785694">
        <w:t>000</w:t>
      </w:r>
      <w:r>
        <w:t xml:space="preserve"> with </w:t>
      </w:r>
      <w:r w:rsidR="00BC71A5">
        <w:t>275</w:t>
      </w:r>
      <w:r>
        <w:t xml:space="preserve"> positions and 2</w:t>
      </w:r>
      <w:r w:rsidR="00BC71A5">
        <w:t>5</w:t>
      </w:r>
      <w:r w:rsidR="004F5EFE">
        <w:t>6</w:t>
      </w:r>
      <w:r>
        <w:t xml:space="preserve"> FTEs </w:t>
      </w:r>
      <w:r w:rsidR="00785694">
        <w:t>are</w:t>
      </w:r>
      <w:r>
        <w:t xml:space="preserve"> requested for the B&amp;F appropriation to support the Department’s Strategic Goal to:</w:t>
      </w:r>
    </w:p>
    <w:p w:rsidR="00A45E7F" w:rsidRDefault="00A45E7F"/>
    <w:p w:rsidR="00A45E7F" w:rsidRDefault="00A45E7F" w:rsidP="00A45E7F">
      <w:pPr>
        <w:numPr>
          <w:ilvl w:val="0"/>
          <w:numId w:val="10"/>
        </w:numPr>
      </w:pPr>
      <w:r>
        <w:t>Provide for the safe, secure, and humane confinement of detained persons awaiting trial and/or sentencing, and those in the custody of the Federal Prison System (Strategic Goal 3.3)</w:t>
      </w:r>
    </w:p>
    <w:p w:rsidR="00A45E7F" w:rsidRDefault="00A45E7F" w:rsidP="00A45E7F"/>
    <w:p w:rsidR="006324CA" w:rsidRDefault="006324CA" w:rsidP="00A45E7F">
      <w:r>
        <w:t>In addition to this request, the budget proposes a rescission of $35,000,000 in prior years’ unobligated new construction balances.</w:t>
      </w:r>
      <w:r w:rsidR="00B76748">
        <w:t xml:space="preserve">  The rescission </w:t>
      </w:r>
      <w:r w:rsidR="00DD09D2">
        <w:t>reduces</w:t>
      </w:r>
      <w:r w:rsidR="00B76748">
        <w:t xml:space="preserve"> $30 million from the “Acquire Existing Institution for Higher Security FCI” project and </w:t>
      </w:r>
      <w:r w:rsidR="00DD09D2">
        <w:t xml:space="preserve">reduces </w:t>
      </w:r>
      <w:r w:rsidR="00B76748">
        <w:t xml:space="preserve">$5 million from the partially funded “FCI </w:t>
      </w:r>
      <w:r w:rsidR="00485272">
        <w:t>Midwestern/</w:t>
      </w:r>
      <w:r w:rsidR="00B76748">
        <w:t>Leavenworth, KS” project.</w:t>
      </w:r>
    </w:p>
    <w:p w:rsidR="006324CA" w:rsidRDefault="006324CA" w:rsidP="00A45E7F"/>
    <w:p w:rsidR="00A45E7F" w:rsidRPr="00425851" w:rsidRDefault="00A45E7F" w:rsidP="00A45E7F">
      <w:pPr>
        <w:rPr>
          <w:b/>
        </w:rPr>
      </w:pPr>
      <w:r w:rsidRPr="00425851">
        <w:rPr>
          <w:b/>
        </w:rPr>
        <w:t>Full Program Costs</w:t>
      </w:r>
    </w:p>
    <w:p w:rsidR="00A45E7F" w:rsidRDefault="00A45E7F" w:rsidP="00A45E7F"/>
    <w:p w:rsidR="00A45E7F" w:rsidRDefault="00A45E7F" w:rsidP="00A45E7F">
      <w:r>
        <w:t xml:space="preserve">The BOP’s budget integrates both DOJ and BOP Strategic Goals and Objectives.  Each performance objective is linked with the costs of critical strategic actions.  The </w:t>
      </w:r>
      <w:r w:rsidR="00841063">
        <w:t xml:space="preserve">FY </w:t>
      </w:r>
      <w:r>
        <w:t>201</w:t>
      </w:r>
      <w:r w:rsidR="004F5EFE">
        <w:t>2</w:t>
      </w:r>
      <w:r>
        <w:t xml:space="preserve"> B&amp;F budget request includes resources to </w:t>
      </w:r>
      <w:r w:rsidR="005136FE">
        <w:t xml:space="preserve">continue the </w:t>
      </w:r>
      <w:r w:rsidR="00284368">
        <w:t xml:space="preserve">base program </w:t>
      </w:r>
      <w:r w:rsidR="00785694">
        <w:t>for New Construction</w:t>
      </w:r>
      <w:r w:rsidR="00284368">
        <w:t xml:space="preserve"> and </w:t>
      </w:r>
      <w:r w:rsidR="00785694">
        <w:t xml:space="preserve">continues </w:t>
      </w:r>
      <w:r w:rsidR="009E5FC2">
        <w:t>the</w:t>
      </w:r>
      <w:r w:rsidR="00785694">
        <w:t xml:space="preserve"> current services </w:t>
      </w:r>
      <w:r w:rsidR="005136FE">
        <w:t xml:space="preserve">amount </w:t>
      </w:r>
      <w:r w:rsidR="009E5FC2">
        <w:t xml:space="preserve">from FY 2011 </w:t>
      </w:r>
      <w:r w:rsidR="005136FE">
        <w:t xml:space="preserve">for </w:t>
      </w:r>
      <w:r w:rsidR="00E155C5">
        <w:t xml:space="preserve">the most </w:t>
      </w:r>
      <w:r w:rsidR="005136FE">
        <w:t>critical Mod</w:t>
      </w:r>
      <w:r>
        <w:t xml:space="preserve">ernization and </w:t>
      </w:r>
      <w:r w:rsidR="00160192">
        <w:t>R</w:t>
      </w:r>
      <w:r>
        <w:t>epair needs of existing institutions.</w:t>
      </w:r>
    </w:p>
    <w:p w:rsidR="00A45E7F" w:rsidRDefault="00A45E7F" w:rsidP="00A45E7F"/>
    <w:p w:rsidR="00AB0A59" w:rsidRDefault="00AB0A59" w:rsidP="00A45E7F">
      <w:r>
        <w:lastRenderedPageBreak/>
        <w:t>Both performance and resource tables within each decision unit justification define the total costs of achieving the strategies t</w:t>
      </w:r>
      <w:r w:rsidR="005136FE">
        <w:t>he BOP will implement in FY 2012</w:t>
      </w:r>
      <w:r>
        <w:t>.</w:t>
      </w:r>
    </w:p>
    <w:p w:rsidR="00AB0A59" w:rsidRDefault="00AB0A59" w:rsidP="00A45E7F"/>
    <w:p w:rsidR="00A45E7F" w:rsidRPr="00425851" w:rsidRDefault="00A45E7F" w:rsidP="00A45E7F">
      <w:pPr>
        <w:rPr>
          <w:b/>
        </w:rPr>
      </w:pPr>
      <w:r w:rsidRPr="00425851">
        <w:rPr>
          <w:b/>
        </w:rPr>
        <w:t>FY 201</w:t>
      </w:r>
      <w:r w:rsidR="005136FE">
        <w:rPr>
          <w:b/>
        </w:rPr>
        <w:t>2</w:t>
      </w:r>
      <w:r w:rsidRPr="00425851">
        <w:rPr>
          <w:b/>
        </w:rPr>
        <w:t xml:space="preserve"> Budget Request by Decision Unit</w:t>
      </w:r>
    </w:p>
    <w:p w:rsidR="00081F0E" w:rsidRDefault="00081F0E" w:rsidP="00A45E7F">
      <w:pPr>
        <w:rPr>
          <w:u w:val="single"/>
        </w:rPr>
      </w:pPr>
    </w:p>
    <w:p w:rsidR="00A45E7F" w:rsidRPr="00425851" w:rsidRDefault="00A45E7F" w:rsidP="00A45E7F">
      <w:pPr>
        <w:rPr>
          <w:u w:val="single"/>
        </w:rPr>
      </w:pPr>
      <w:r w:rsidRPr="00425851">
        <w:rPr>
          <w:u w:val="single"/>
        </w:rPr>
        <w:t>New Construction Funds:  $</w:t>
      </w:r>
      <w:r w:rsidR="00BC71A5">
        <w:rPr>
          <w:u w:val="single"/>
        </w:rPr>
        <w:t>25</w:t>
      </w:r>
      <w:r w:rsidR="00AB0A59">
        <w:rPr>
          <w:u w:val="single"/>
        </w:rPr>
        <w:t>,</w:t>
      </w:r>
      <w:r w:rsidR="006324CA">
        <w:rPr>
          <w:u w:val="single"/>
        </w:rPr>
        <w:t>439</w:t>
      </w:r>
      <w:r w:rsidR="00AB0A59">
        <w:rPr>
          <w:u w:val="single"/>
        </w:rPr>
        <w:t>,000</w:t>
      </w:r>
    </w:p>
    <w:p w:rsidR="00B76748" w:rsidRDefault="00B76748" w:rsidP="008D4C8A">
      <w:pPr>
        <w:widowControl w:val="0"/>
      </w:pPr>
      <w:r>
        <w:t xml:space="preserve">The budget proposes a rescission of $35,000,000 in prior years’ unobligated </w:t>
      </w:r>
      <w:r w:rsidR="00DD09D2">
        <w:t>N</w:t>
      </w:r>
      <w:r>
        <w:t xml:space="preserve">ew </w:t>
      </w:r>
      <w:r w:rsidR="00DD09D2">
        <w:t>C</w:t>
      </w:r>
      <w:r>
        <w:t xml:space="preserve">onstruction balances.  </w:t>
      </w:r>
    </w:p>
    <w:p w:rsidR="00B76748" w:rsidRDefault="00B76748" w:rsidP="008D4C8A">
      <w:pPr>
        <w:widowControl w:val="0"/>
      </w:pPr>
    </w:p>
    <w:p w:rsidR="008D4C8A" w:rsidRDefault="00C7332A" w:rsidP="008D4C8A">
      <w:pPr>
        <w:widowControl w:val="0"/>
      </w:pPr>
      <w:r>
        <w:t>For FY 201</w:t>
      </w:r>
      <w:r w:rsidR="005136FE">
        <w:t>2</w:t>
      </w:r>
      <w:r>
        <w:t>, $2</w:t>
      </w:r>
      <w:r w:rsidR="00BC71A5">
        <w:t>5</w:t>
      </w:r>
      <w:r>
        <w:t>,</w:t>
      </w:r>
      <w:r w:rsidR="006324CA">
        <w:t>439</w:t>
      </w:r>
      <w:r>
        <w:t xml:space="preserve">,000 in New Construction base funds are </w:t>
      </w:r>
      <w:r w:rsidR="00756C16" w:rsidRPr="00555CFC">
        <w:t>minimally</w:t>
      </w:r>
      <w:r w:rsidR="00756C16">
        <w:t xml:space="preserve"> </w:t>
      </w:r>
      <w:r>
        <w:t xml:space="preserve">required to provide for ongoing expenses within the decision unit.  </w:t>
      </w:r>
      <w:r w:rsidR="008D4C8A">
        <w:t>New Construction base resources are essential to the program and required for the Oklahoma Transfer Center lease payments (approximately $10 million per year); salaries and administrative costs of architects, project managers, site selection, procurement, and other staff necessary to carry out the program objective; environmental requirements and geo-technical exploration; construction of inmate work program areas; expansion and conversion projects, i.e. additional special housing unit space; and any unforeseen preliminary project costs issues which may arise and are not included in the individual project cost estimate.  Further, new construction base funds are utilized when site investigations are required for a project in which a specific location has not yet been identified.</w:t>
      </w:r>
    </w:p>
    <w:p w:rsidR="00A85129" w:rsidRDefault="00F86F47" w:rsidP="00CE08EA">
      <w:r>
        <w:t xml:space="preserve"> </w:t>
      </w:r>
    </w:p>
    <w:p w:rsidR="00A85129" w:rsidRDefault="00A85129" w:rsidP="00A85129">
      <w:r>
        <w:t xml:space="preserve">Resources for each objective that the BOP supports are identified under each decision unit.  The </w:t>
      </w:r>
      <w:r w:rsidRPr="00425851">
        <w:rPr>
          <w:u w:val="single"/>
        </w:rPr>
        <w:t>total</w:t>
      </w:r>
      <w:r>
        <w:t xml:space="preserve"> costs include the following:</w:t>
      </w:r>
    </w:p>
    <w:p w:rsidR="00A85129" w:rsidRDefault="00A85129" w:rsidP="00A85129"/>
    <w:p w:rsidR="00A85129" w:rsidRDefault="00A85129" w:rsidP="00A85129">
      <w:pPr>
        <w:numPr>
          <w:ilvl w:val="0"/>
          <w:numId w:val="10"/>
        </w:numPr>
      </w:pPr>
      <w:r>
        <w:t>The direct cost of all activities</w:t>
      </w:r>
    </w:p>
    <w:p w:rsidR="00A85129" w:rsidRDefault="00A85129" w:rsidP="00A85129">
      <w:pPr>
        <w:numPr>
          <w:ilvl w:val="0"/>
          <w:numId w:val="10"/>
        </w:numPr>
      </w:pPr>
      <w:r>
        <w:t>Indirect costs</w:t>
      </w:r>
    </w:p>
    <w:p w:rsidR="00A85129" w:rsidRDefault="00A85129" w:rsidP="00A85129">
      <w:pPr>
        <w:numPr>
          <w:ilvl w:val="0"/>
          <w:numId w:val="10"/>
        </w:numPr>
      </w:pPr>
      <w:r>
        <w:t>Common administrative systems costs</w:t>
      </w:r>
    </w:p>
    <w:p w:rsidR="00DB0463" w:rsidRDefault="00DB0463" w:rsidP="00CE08EA">
      <w:pPr>
        <w:rPr>
          <w:b/>
        </w:rPr>
      </w:pPr>
    </w:p>
    <w:p w:rsidR="00C2116A" w:rsidRDefault="00E83ECA" w:rsidP="00D44410">
      <w:pPr>
        <w:widowControl w:val="0"/>
      </w:pPr>
      <w:r>
        <w:t xml:space="preserve">The following chart shows the history of New Construction funding levels from FY 2001 to the FY 2012 </w:t>
      </w:r>
      <w:r w:rsidR="000C435D">
        <w:t>R</w:t>
      </w:r>
      <w:r>
        <w:t>equest.</w:t>
      </w:r>
    </w:p>
    <w:p w:rsidR="006324CA" w:rsidRDefault="00E7599B" w:rsidP="00EF2126">
      <w:pPr>
        <w:widowControl w:val="0"/>
        <w:rPr>
          <w:b/>
          <w:sz w:val="20"/>
          <w:szCs w:val="20"/>
        </w:rPr>
      </w:pPr>
      <w:r>
        <w:rPr>
          <w:noProof/>
        </w:rPr>
        <w:lastRenderedPageBreak/>
        <w:drawing>
          <wp:inline distT="0" distB="0" distL="0" distR="0">
            <wp:extent cx="6321425" cy="489013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56C16" w:rsidRPr="00756C16">
        <w:rPr>
          <w:b/>
          <w:sz w:val="20"/>
          <w:szCs w:val="20"/>
        </w:rPr>
        <w:t xml:space="preserve"> </w:t>
      </w:r>
      <w:r w:rsidR="00756C16">
        <w:rPr>
          <w:b/>
          <w:sz w:val="20"/>
          <w:szCs w:val="20"/>
        </w:rPr>
        <w:tab/>
      </w:r>
      <w:r w:rsidR="006324CA">
        <w:rPr>
          <w:b/>
          <w:sz w:val="20"/>
          <w:szCs w:val="20"/>
        </w:rPr>
        <w:t>For FY 2012, th</w:t>
      </w:r>
      <w:r w:rsidR="00DD09D2">
        <w:rPr>
          <w:b/>
          <w:sz w:val="20"/>
          <w:szCs w:val="20"/>
        </w:rPr>
        <w:t>is</w:t>
      </w:r>
      <w:r w:rsidR="006324CA">
        <w:rPr>
          <w:b/>
          <w:sz w:val="20"/>
          <w:szCs w:val="20"/>
        </w:rPr>
        <w:t xml:space="preserve"> budget proposes a rescission of $35 million in prior years’ unobligated </w:t>
      </w:r>
    </w:p>
    <w:p w:rsidR="006324CA" w:rsidRDefault="006324CA" w:rsidP="00D53665">
      <w:pPr>
        <w:widowControl w:val="0"/>
        <w:ind w:left="720"/>
        <w:rPr>
          <w:b/>
          <w:sz w:val="20"/>
          <w:szCs w:val="20"/>
        </w:rPr>
      </w:pPr>
      <w:r>
        <w:rPr>
          <w:b/>
          <w:sz w:val="20"/>
          <w:szCs w:val="20"/>
        </w:rPr>
        <w:t xml:space="preserve">  </w:t>
      </w:r>
      <w:r w:rsidR="00DD09D2">
        <w:rPr>
          <w:b/>
          <w:sz w:val="20"/>
          <w:szCs w:val="20"/>
        </w:rPr>
        <w:t>N</w:t>
      </w:r>
      <w:r>
        <w:rPr>
          <w:b/>
          <w:sz w:val="20"/>
          <w:szCs w:val="20"/>
        </w:rPr>
        <w:t xml:space="preserve">ew </w:t>
      </w:r>
      <w:r w:rsidR="00DD09D2">
        <w:rPr>
          <w:b/>
          <w:sz w:val="20"/>
          <w:szCs w:val="20"/>
        </w:rPr>
        <w:t>C</w:t>
      </w:r>
      <w:r>
        <w:rPr>
          <w:b/>
          <w:sz w:val="20"/>
          <w:szCs w:val="20"/>
        </w:rPr>
        <w:t>onstruction balances.</w:t>
      </w:r>
    </w:p>
    <w:p w:rsidR="006324CA" w:rsidRDefault="006324CA" w:rsidP="00D53665">
      <w:pPr>
        <w:widowControl w:val="0"/>
        <w:ind w:left="720"/>
        <w:rPr>
          <w:b/>
          <w:sz w:val="20"/>
          <w:szCs w:val="20"/>
        </w:rPr>
      </w:pPr>
    </w:p>
    <w:p w:rsidR="006324CA" w:rsidRDefault="00756C16" w:rsidP="00D53665">
      <w:pPr>
        <w:widowControl w:val="0"/>
        <w:ind w:left="720"/>
        <w:rPr>
          <w:b/>
          <w:sz w:val="20"/>
          <w:szCs w:val="20"/>
        </w:rPr>
      </w:pPr>
      <w:r>
        <w:rPr>
          <w:b/>
          <w:sz w:val="20"/>
          <w:szCs w:val="20"/>
        </w:rPr>
        <w:t xml:space="preserve">The BOP absorbed rescissions against new construction project funds </w:t>
      </w:r>
      <w:r w:rsidR="00785694">
        <w:rPr>
          <w:b/>
          <w:sz w:val="20"/>
          <w:szCs w:val="20"/>
        </w:rPr>
        <w:t xml:space="preserve">of $5.7 million </w:t>
      </w:r>
      <w:r>
        <w:rPr>
          <w:b/>
          <w:sz w:val="20"/>
          <w:szCs w:val="20"/>
        </w:rPr>
        <w:t xml:space="preserve">in FY </w:t>
      </w:r>
    </w:p>
    <w:p w:rsidR="00756C16" w:rsidRDefault="006324CA" w:rsidP="00D53665">
      <w:pPr>
        <w:widowControl w:val="0"/>
        <w:ind w:left="720"/>
        <w:rPr>
          <w:b/>
          <w:sz w:val="20"/>
          <w:szCs w:val="20"/>
        </w:rPr>
      </w:pPr>
      <w:r>
        <w:rPr>
          <w:b/>
          <w:sz w:val="20"/>
          <w:szCs w:val="20"/>
        </w:rPr>
        <w:t xml:space="preserve">  </w:t>
      </w:r>
      <w:proofErr w:type="gramStart"/>
      <w:r w:rsidR="00756C16">
        <w:rPr>
          <w:b/>
          <w:sz w:val="20"/>
          <w:szCs w:val="20"/>
        </w:rPr>
        <w:t xml:space="preserve">2002 and </w:t>
      </w:r>
      <w:r w:rsidR="00104D6C">
        <w:rPr>
          <w:b/>
          <w:sz w:val="20"/>
          <w:szCs w:val="20"/>
        </w:rPr>
        <w:t>$51.9 million in FY 2004.</w:t>
      </w:r>
      <w:proofErr w:type="gramEnd"/>
    </w:p>
    <w:p w:rsidR="00756C16" w:rsidRPr="009553C8" w:rsidRDefault="00756C16" w:rsidP="0028439C">
      <w:pPr>
        <w:widowControl w:val="0"/>
        <w:rPr>
          <w:b/>
          <w:sz w:val="20"/>
          <w:szCs w:val="20"/>
        </w:rPr>
      </w:pPr>
    </w:p>
    <w:p w:rsidR="00C2116A" w:rsidRDefault="00C2116A" w:rsidP="00C2116A">
      <w:pPr>
        <w:widowControl w:val="0"/>
        <w:rPr>
          <w:u w:val="single"/>
        </w:rPr>
      </w:pPr>
      <w:r>
        <w:rPr>
          <w:u w:val="single"/>
        </w:rPr>
        <w:t>Modernization and Repair:  $</w:t>
      </w:r>
      <w:r w:rsidR="00BC71A5">
        <w:rPr>
          <w:u w:val="single"/>
        </w:rPr>
        <w:t>7</w:t>
      </w:r>
      <w:r w:rsidR="00851C79">
        <w:rPr>
          <w:u w:val="single"/>
        </w:rPr>
        <w:t>3</w:t>
      </w:r>
      <w:r w:rsidR="008A4EF2">
        <w:rPr>
          <w:u w:val="single"/>
        </w:rPr>
        <w:t>,</w:t>
      </w:r>
      <w:r w:rsidR="00851C79">
        <w:rPr>
          <w:u w:val="single"/>
        </w:rPr>
        <w:t>955</w:t>
      </w:r>
      <w:r>
        <w:rPr>
          <w:u w:val="single"/>
        </w:rPr>
        <w:t>,000</w:t>
      </w:r>
    </w:p>
    <w:p w:rsidR="004266B4" w:rsidRDefault="004266B4" w:rsidP="00E14BCA">
      <w:r>
        <w:t>For FY 201</w:t>
      </w:r>
      <w:r w:rsidR="00E83ECA">
        <w:t>2</w:t>
      </w:r>
      <w:r>
        <w:t xml:space="preserve">, </w:t>
      </w:r>
      <w:r w:rsidR="004862E2">
        <w:t>$7</w:t>
      </w:r>
      <w:r w:rsidR="00851C79">
        <w:t>3</w:t>
      </w:r>
      <w:r w:rsidR="004862E2">
        <w:t>,</w:t>
      </w:r>
      <w:r w:rsidR="00851C79">
        <w:t>955</w:t>
      </w:r>
      <w:r w:rsidR="004862E2">
        <w:t>,000</w:t>
      </w:r>
      <w:r w:rsidR="005A7775">
        <w:t xml:space="preserve">, or </w:t>
      </w:r>
      <w:r>
        <w:t>a</w:t>
      </w:r>
      <w:r w:rsidR="00E83ECA">
        <w:t xml:space="preserve"> </w:t>
      </w:r>
      <w:r w:rsidR="00284368">
        <w:t>0.3</w:t>
      </w:r>
      <w:r w:rsidR="00E83ECA">
        <w:t xml:space="preserve"> percent replacement value </w:t>
      </w:r>
      <w:r w:rsidR="00F87CCD">
        <w:t>level</w:t>
      </w:r>
      <w:r w:rsidR="005A7775">
        <w:t>,</w:t>
      </w:r>
      <w:r w:rsidR="00E83ECA">
        <w:t xml:space="preserve"> is requested for the M&amp;R program</w:t>
      </w:r>
      <w:r w:rsidR="009C5780">
        <w:t xml:space="preserve"> to remain at the current services level for FY 2012</w:t>
      </w:r>
      <w:r>
        <w:t xml:space="preserve">.  This </w:t>
      </w:r>
      <w:r w:rsidR="00C55608">
        <w:t xml:space="preserve">requested </w:t>
      </w:r>
      <w:r w:rsidR="0013632F">
        <w:t xml:space="preserve">base </w:t>
      </w:r>
      <w:r>
        <w:t xml:space="preserve">level for M&amp;R </w:t>
      </w:r>
      <w:r w:rsidR="00284368">
        <w:t>will fund some of the most basic and emergency type</w:t>
      </w:r>
      <w:r w:rsidR="00384D0E">
        <w:t xml:space="preserve"> repairs of </w:t>
      </w:r>
      <w:r>
        <w:t xml:space="preserve">BOP’s aging facilities’ infrastructures.  </w:t>
      </w:r>
    </w:p>
    <w:p w:rsidR="004266B4" w:rsidRDefault="004266B4" w:rsidP="00E14BCA"/>
    <w:p w:rsidR="00DA3494" w:rsidRDefault="004266B4" w:rsidP="00DA3494">
      <w:r>
        <w:t xml:space="preserve">The M&amp;R program </w:t>
      </w:r>
      <w:r w:rsidR="00DD09D2">
        <w:t>is intended to</w:t>
      </w:r>
      <w:r w:rsidR="00D53665">
        <w:t xml:space="preserve"> </w:t>
      </w:r>
      <w:r>
        <w:t>provide the necessary resources to undertake essential rehabilitation, renovation and replacement projects at existing institutions to ensure</w:t>
      </w:r>
      <w:r w:rsidR="00DA3494">
        <w:t xml:space="preserve"> </w:t>
      </w:r>
      <w:r>
        <w:t xml:space="preserve">structures, utilities systems, and other plant facilities </w:t>
      </w:r>
      <w:r w:rsidR="00DA3494">
        <w:t>are</w:t>
      </w:r>
      <w:r w:rsidR="00F87CCD">
        <w:t xml:space="preserve"> operational</w:t>
      </w:r>
      <w:r>
        <w:t>.</w:t>
      </w:r>
      <w:r w:rsidR="00F87CCD">
        <w:t xml:space="preserve">  </w:t>
      </w:r>
      <w:r w:rsidR="00104D6C">
        <w:t xml:space="preserve">It is extremely important </w:t>
      </w:r>
      <w:r w:rsidR="00DA3494">
        <w:t>to maintain a current services level</w:t>
      </w:r>
      <w:r w:rsidR="00104D6C">
        <w:t xml:space="preserve"> for the M&amp;R program </w:t>
      </w:r>
      <w:r w:rsidR="00DA3494">
        <w:t>in order</w:t>
      </w:r>
      <w:r w:rsidR="00104D6C">
        <w:t xml:space="preserve"> to address </w:t>
      </w:r>
      <w:r w:rsidR="00DD09D2">
        <w:t xml:space="preserve">the most </w:t>
      </w:r>
      <w:r w:rsidR="00104D6C">
        <w:t>critical repair</w:t>
      </w:r>
      <w:r w:rsidR="00E32FDB">
        <w:t>s</w:t>
      </w:r>
      <w:r w:rsidR="00104D6C">
        <w:t xml:space="preserve"> and safety projects t</w:t>
      </w:r>
      <w:r w:rsidR="00E32FDB">
        <w:t>hat will</w:t>
      </w:r>
      <w:r w:rsidR="00104D6C">
        <w:t xml:space="preserve"> </w:t>
      </w:r>
      <w:r w:rsidR="00E32FDB">
        <w:t xml:space="preserve">help </w:t>
      </w:r>
      <w:r w:rsidR="00DD09D2">
        <w:t xml:space="preserve">keep </w:t>
      </w:r>
      <w:r w:rsidR="00104D6C">
        <w:t>Federal prisons</w:t>
      </w:r>
      <w:r w:rsidR="00DA3494">
        <w:t xml:space="preserve"> </w:t>
      </w:r>
      <w:r w:rsidR="00DD09D2">
        <w:t xml:space="preserve">operational </w:t>
      </w:r>
      <w:r w:rsidR="00DA3494">
        <w:t>and</w:t>
      </w:r>
      <w:r w:rsidR="00E32FDB">
        <w:t xml:space="preserve"> </w:t>
      </w:r>
      <w:r w:rsidR="005F08A2">
        <w:t xml:space="preserve">reduce </w:t>
      </w:r>
      <w:r w:rsidR="00066A85">
        <w:t>security problems</w:t>
      </w:r>
      <w:r w:rsidR="00104D6C">
        <w:t xml:space="preserve">.  </w:t>
      </w:r>
    </w:p>
    <w:p w:rsidR="00BA3063" w:rsidRDefault="00BA3063" w:rsidP="00DA3494"/>
    <w:p w:rsidR="00DC5F5A" w:rsidRDefault="00DC5F5A" w:rsidP="00DC5F5A">
      <w:r>
        <w:t xml:space="preserve">Delays in completing needed repairs have increased the number and cost of unfunded projects as well as contributed to additional deterioration of BOP’s aging and inadequate </w:t>
      </w:r>
      <w:r>
        <w:lastRenderedPageBreak/>
        <w:t xml:space="preserve">infrastructures.  For example, FCI Tallahassee, FL is one of many institutions that have been in need of funds for major repairs of its infrastructure.  Due to limited resources in the M&amp;R program, this important project has not been able to be funded and is delayed year after year.  The infrastructure is now failing to the point that the entire building for Inmate Services needs to be replaced at a cost of over $7 million.  M&amp;R is essential to institution security because deteriorated facilities add to increased risk of escape, inability to lock down cells, and violence due to frustration over inadequate living conditions, such as leaking and collapsing roofs at </w:t>
      </w:r>
      <w:r w:rsidR="00DD09D2">
        <w:t>some</w:t>
      </w:r>
      <w:r>
        <w:t xml:space="preserve"> locations that </w:t>
      </w:r>
      <w:r w:rsidR="00DD09D2">
        <w:t>are in need of replacement</w:t>
      </w:r>
      <w:r>
        <w:t xml:space="preserve">.  </w:t>
      </w:r>
    </w:p>
    <w:p w:rsidR="00DC5F5A" w:rsidRDefault="00DC5F5A" w:rsidP="00DA3494"/>
    <w:p w:rsidR="00BA3063" w:rsidRDefault="00BA3063" w:rsidP="00BA3063">
      <w:r>
        <w:t xml:space="preserve">Resources for each objective that the BOP supports are identified under each decision unit.  The </w:t>
      </w:r>
      <w:r w:rsidRPr="00425851">
        <w:rPr>
          <w:u w:val="single"/>
        </w:rPr>
        <w:t>total</w:t>
      </w:r>
      <w:r>
        <w:t xml:space="preserve"> costs include the following:</w:t>
      </w:r>
    </w:p>
    <w:p w:rsidR="00BA3063" w:rsidRDefault="00BA3063" w:rsidP="00BA3063"/>
    <w:p w:rsidR="00BA3063" w:rsidRDefault="00BA3063" w:rsidP="00BA3063">
      <w:pPr>
        <w:numPr>
          <w:ilvl w:val="0"/>
          <w:numId w:val="10"/>
        </w:numPr>
      </w:pPr>
      <w:r>
        <w:t>The direct cost of all activities</w:t>
      </w:r>
    </w:p>
    <w:p w:rsidR="00BA3063" w:rsidRDefault="00BA3063" w:rsidP="00BA3063">
      <w:pPr>
        <w:numPr>
          <w:ilvl w:val="0"/>
          <w:numId w:val="10"/>
        </w:numPr>
      </w:pPr>
      <w:r>
        <w:t>Indirect costs</w:t>
      </w:r>
    </w:p>
    <w:p w:rsidR="00BA3063" w:rsidRDefault="00BA3063" w:rsidP="00BA3063">
      <w:pPr>
        <w:numPr>
          <w:ilvl w:val="0"/>
          <w:numId w:val="10"/>
        </w:numPr>
      </w:pPr>
      <w:r>
        <w:t>Common administrative systems costs</w:t>
      </w:r>
    </w:p>
    <w:p w:rsidR="00BA3063" w:rsidRDefault="00BA3063" w:rsidP="00BA3063"/>
    <w:p w:rsidR="000C435D" w:rsidRDefault="00E83ECA" w:rsidP="00C2116A">
      <w:pPr>
        <w:widowControl w:val="0"/>
      </w:pPr>
      <w:r>
        <w:t xml:space="preserve">The following chart shows the history of M&amp;R funding levels </w:t>
      </w:r>
      <w:r w:rsidR="00104D6C">
        <w:t xml:space="preserve">and requests </w:t>
      </w:r>
      <w:r>
        <w:t>from FY 2001 to FY 2012</w:t>
      </w:r>
      <w:r w:rsidR="000C435D">
        <w:t>.</w:t>
      </w:r>
    </w:p>
    <w:p w:rsidR="00241C8F" w:rsidRDefault="00E7599B" w:rsidP="00C2116A">
      <w:pPr>
        <w:widowControl w:val="0"/>
      </w:pPr>
      <w:r>
        <w:rPr>
          <w:noProof/>
        </w:rPr>
        <w:drawing>
          <wp:inline distT="0" distB="0" distL="0" distR="0">
            <wp:extent cx="6209665" cy="44132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16A" w:rsidRDefault="00C2116A" w:rsidP="00C2116A">
      <w:pPr>
        <w:widowControl w:val="0"/>
      </w:pPr>
      <w:r>
        <w:rPr>
          <w:b/>
        </w:rPr>
        <w:t>Challenges</w:t>
      </w:r>
    </w:p>
    <w:p w:rsidR="00C2116A" w:rsidRDefault="00C2116A" w:rsidP="00C2116A">
      <w:pPr>
        <w:widowControl w:val="0"/>
      </w:pPr>
      <w:r>
        <w:t xml:space="preserve">The </w:t>
      </w:r>
      <w:r w:rsidR="00104D6C">
        <w:t xml:space="preserve">biggest challenge facing the BOP is managing the ever increasing federal inmate population and providing for their care and safety, while maintaining appropriately safe and secure prisons required </w:t>
      </w:r>
      <w:proofErr w:type="gramStart"/>
      <w:r w:rsidR="00104D6C">
        <w:t>to ensure</w:t>
      </w:r>
      <w:proofErr w:type="gramEnd"/>
      <w:r w:rsidR="00104D6C">
        <w:t xml:space="preserve"> the safety of BOP staff and surrounding communities</w:t>
      </w:r>
      <w:r w:rsidR="00DD09D2">
        <w:t xml:space="preserve"> within budgeted levels.  This</w:t>
      </w:r>
      <w:r w:rsidR="00104D6C">
        <w:t xml:space="preserve"> is why the requested resources for BOP’s </w:t>
      </w:r>
      <w:r w:rsidR="00104D6C">
        <w:lastRenderedPageBreak/>
        <w:t xml:space="preserve">operations budget (S&amp;E) and for Modernization and Repair are vital.  </w:t>
      </w:r>
      <w:r w:rsidR="009A591C">
        <w:t xml:space="preserve">The most significant increases in the inmate population have occurred in the last two decades.  While the BOP is not experiencing the dramatic population increases of  10,000 </w:t>
      </w:r>
      <w:r w:rsidR="000D79EA">
        <w:t>to</w:t>
      </w:r>
      <w:r w:rsidR="009A591C">
        <w:t xml:space="preserve"> 11,400 inmates per year that occurred from 1998 to 2001, the increases are still significant (</w:t>
      </w:r>
      <w:r w:rsidR="00DD09D2">
        <w:t xml:space="preserve">averaging </w:t>
      </w:r>
      <w:r w:rsidR="009A591C">
        <w:t xml:space="preserve">over </w:t>
      </w:r>
      <w:r w:rsidR="00DD09D2">
        <w:t>4</w:t>
      </w:r>
      <w:r w:rsidR="009A591C">
        <w:t>,</w:t>
      </w:r>
      <w:r w:rsidR="00DD09D2">
        <w:t>5</w:t>
      </w:r>
      <w:r w:rsidR="009A591C">
        <w:t xml:space="preserve">00 inmates </w:t>
      </w:r>
      <w:r w:rsidR="00463F37">
        <w:t>per year the past five years</w:t>
      </w:r>
      <w:r w:rsidR="009A591C">
        <w:t xml:space="preserve">), and a net growth of </w:t>
      </w:r>
      <w:r w:rsidR="007517BA">
        <w:t>about</w:t>
      </w:r>
      <w:r w:rsidR="00FF1802">
        <w:t xml:space="preserve">  </w:t>
      </w:r>
      <w:r w:rsidR="00463F37">
        <w:t>5</w:t>
      </w:r>
      <w:r w:rsidR="009A591C">
        <w:t>,</w:t>
      </w:r>
      <w:r w:rsidR="00463F37">
        <w:t>8</w:t>
      </w:r>
      <w:r w:rsidR="009A591C">
        <w:t xml:space="preserve">00  inmates per year is projected for </w:t>
      </w:r>
      <w:r w:rsidR="00463F37">
        <w:t xml:space="preserve">FY 2011 and </w:t>
      </w:r>
      <w:r w:rsidR="007517BA">
        <w:t>FY 2012</w:t>
      </w:r>
      <w:r w:rsidR="009A591C">
        <w:t>.</w:t>
      </w:r>
      <w:r w:rsidR="005D7281">
        <w:t xml:space="preserve">  </w:t>
      </w:r>
      <w:r w:rsidR="001C47A7">
        <w:t>Therefore, adding new capacity</w:t>
      </w:r>
      <w:r w:rsidR="000B5E40">
        <w:t>, such as FCI Aliceville,</w:t>
      </w:r>
      <w:r w:rsidR="001C47A7">
        <w:t xml:space="preserve"> to accommodate the increasing inmate population is</w:t>
      </w:r>
      <w:r w:rsidR="003C2DFA">
        <w:t xml:space="preserve"> basic</w:t>
      </w:r>
      <w:r w:rsidR="001C47A7">
        <w:t xml:space="preserve"> to address overcrowding and effectively manag</w:t>
      </w:r>
      <w:r w:rsidR="006C17AC">
        <w:t>e</w:t>
      </w:r>
      <w:r w:rsidR="001C47A7">
        <w:t xml:space="preserve"> </w:t>
      </w:r>
      <w:r w:rsidR="00920B3D">
        <w:t>f</w:t>
      </w:r>
      <w:r w:rsidR="001C47A7">
        <w:t>ederal inmates.</w:t>
      </w:r>
    </w:p>
    <w:p w:rsidR="00BF3509" w:rsidRDefault="00BF3509" w:rsidP="00C2116A">
      <w:pPr>
        <w:widowControl w:val="0"/>
      </w:pPr>
    </w:p>
    <w:p w:rsidR="00C423D4" w:rsidRPr="00F87757" w:rsidRDefault="00C423D4" w:rsidP="00C423D4">
      <w:pPr>
        <w:autoSpaceDE w:val="0"/>
        <w:autoSpaceDN w:val="0"/>
        <w:adjustRightInd w:val="0"/>
      </w:pPr>
      <w:r w:rsidRPr="00F87757">
        <w:t xml:space="preserve">It has been particularly challenging to manage the Federal prisoner population at higher security levels.  The combined inmate population confined in medium and high </w:t>
      </w:r>
      <w:r w:rsidR="001B474D">
        <w:t xml:space="preserve">security </w:t>
      </w:r>
      <w:r w:rsidRPr="00F87757">
        <w:t xml:space="preserve">facilities represents </w:t>
      </w:r>
      <w:r w:rsidR="006C17AC">
        <w:t xml:space="preserve">over </w:t>
      </w:r>
      <w:r w:rsidRPr="00F87757">
        <w:t>4</w:t>
      </w:r>
      <w:r>
        <w:t>0</w:t>
      </w:r>
      <w:r w:rsidRPr="00F87757">
        <w:t xml:space="preserve"> percent of the entire inmate population.  It is important to note that at the medium security level, about 67 percent of the inmates are drug offenders or weapons offenders, approximately 75 percent have a history of violence, 40 percent have been sanctioned for violating prison rules, and half of the inmates in this population have sentences in excess of 8 years.  At the high security level, more than 70 percent of the inmates are drug offenders, weapons offenders, or robbers, another 10 percent have been convicted of murder, aggravated assault, or kidnapping, and half of the inmates in this population have sentences in excess of 10 years.  Furthermore, nearly 70 percent of high security inmates have been sanctioned for violating prison rules, and more than 90 percent have a history of violence.</w:t>
      </w:r>
    </w:p>
    <w:p w:rsidR="00C423D4" w:rsidRPr="00F87757" w:rsidRDefault="00C423D4" w:rsidP="00C423D4"/>
    <w:p w:rsidR="00C423D4" w:rsidRDefault="00C423D4" w:rsidP="00C423D4">
      <w:pPr>
        <w:widowControl w:val="0"/>
      </w:pPr>
      <w:r>
        <w:t>Further, with the ongoing threats and activity of terrorist organizations, the BOP’s work has taken on significantly greater risks with the incarceration of high-profile convicted terrorists such as:  Zacarias Mossaoui, Nidal Ayyad (World Trade Center Bomber), Terry Nichols, Sheik Rahman, Richard Reid, Ramzi Yousef, Ahmed Ghailani</w:t>
      </w:r>
      <w:r w:rsidR="000D79EA">
        <w:t xml:space="preserve">, and </w:t>
      </w:r>
      <w:r w:rsidR="00DC1F80">
        <w:t>Colleen LaRose (a</w:t>
      </w:r>
      <w:r w:rsidR="00BC2BDD">
        <w:t>.</w:t>
      </w:r>
      <w:r w:rsidR="00DC1F80">
        <w:t>k</w:t>
      </w:r>
      <w:r w:rsidR="00BC2BDD">
        <w:t>.</w:t>
      </w:r>
      <w:r w:rsidR="00DC1F80">
        <w:t>a</w:t>
      </w:r>
      <w:r w:rsidR="00BC2BDD">
        <w:t>.</w:t>
      </w:r>
      <w:r w:rsidR="00DC1F80">
        <w:t xml:space="preserve"> </w:t>
      </w:r>
      <w:r w:rsidR="000D79EA">
        <w:t>Jihad Jane</w:t>
      </w:r>
      <w:r w:rsidR="00DC1F80">
        <w:t>)</w:t>
      </w:r>
      <w:r>
        <w:t xml:space="preserve">.  </w:t>
      </w:r>
    </w:p>
    <w:p w:rsidR="00C423D4" w:rsidRDefault="00C423D4" w:rsidP="00C423D4">
      <w:pPr>
        <w:widowControl w:val="0"/>
      </w:pPr>
    </w:p>
    <w:p w:rsidR="00C2116A" w:rsidRDefault="00201FD0" w:rsidP="00C2116A">
      <w:r>
        <w:t>About o</w:t>
      </w:r>
      <w:r w:rsidR="00C2116A">
        <w:t>ne-third of the BOP’s 11</w:t>
      </w:r>
      <w:r w:rsidR="00227516">
        <w:t>6</w:t>
      </w:r>
      <w:r w:rsidR="00C2116A">
        <w:t xml:space="preserve"> institutions are over 50 years old</w:t>
      </w:r>
      <w:r w:rsidR="00347862">
        <w:t xml:space="preserve">.  </w:t>
      </w:r>
      <w:r w:rsidR="00C2116A">
        <w:t xml:space="preserve">The BOP prioritizes its major M&amp;R projects (typically those </w:t>
      </w:r>
      <w:r w:rsidR="00F76F37">
        <w:t>costing</w:t>
      </w:r>
      <w:r w:rsidR="00C2116A">
        <w:t xml:space="preserve"> about $300,000 or more) so that only the most critical are funded first in order to maintain safe and secure facilities.  Maintaining sufficient M&amp;R resources is essential to ensuring BOP facilities are kept in an adequate state of repair for the safety of staff, inmates, and the surrounding communities.  Failure to adequately maintain structures and utility systems erodes capital investment and multiplies the costs in future years for accomplishing the required maintenance and repair.  This is particularly important given the Administration’s emphasis on agency asset management planning processes.</w:t>
      </w:r>
    </w:p>
    <w:p w:rsidR="00C2116A" w:rsidRDefault="00C2116A" w:rsidP="00C2116A">
      <w:pPr>
        <w:widowControl w:val="0"/>
      </w:pPr>
    </w:p>
    <w:p w:rsidR="00C423D4" w:rsidRDefault="00C423D4" w:rsidP="00C423D4">
      <w:r>
        <w:t xml:space="preserve">The BOP has made significant progress in environmental and energy performance and will continue to integrate and update prior practices and requirements.  </w:t>
      </w:r>
      <w:r w:rsidR="00F7080E">
        <w:t xml:space="preserve">Without </w:t>
      </w:r>
      <w:r w:rsidR="000B5E40">
        <w:t xml:space="preserve">the requested </w:t>
      </w:r>
      <w:r w:rsidR="00F7080E">
        <w:t xml:space="preserve">M&amp;R funds, the BOP will be unable to meet the goals and mandates as required.  </w:t>
      </w:r>
      <w:r>
        <w:t xml:space="preserve">The BOP is actively utilizing the Energy Saving Performance Contract (ESPC) finance mechanism permitted by Executive Order 13423 and Energy Policy Act.  </w:t>
      </w:r>
    </w:p>
    <w:p w:rsidR="00C423D4" w:rsidRDefault="00C423D4" w:rsidP="00C423D4">
      <w:r>
        <w:tab/>
      </w:r>
      <w:r>
        <w:tab/>
      </w:r>
      <w:r>
        <w:tab/>
      </w:r>
      <w:r>
        <w:tab/>
      </w:r>
    </w:p>
    <w:p w:rsidR="00C423D4" w:rsidRDefault="00C423D4" w:rsidP="00C423D4">
      <w:r>
        <w:t xml:space="preserve">An ESPC is a contract that provides for the performance of services for the design, acquisition, financing, installation, testing, operation, and where appropriate, maintenance and repair, of an identified energy or water conservation measure or series of measures at one or more locations.  The contractor must incur costs of implementing </w:t>
      </w:r>
      <w:r>
        <w:lastRenderedPageBreak/>
        <w:t xml:space="preserve">energy savings measures, including at least the cost (if any) incurred in making energy audits, acquiring and installing equipment, and training personnel in exchange for a predetermined share of the value of the energy savings directly resulting from implementation of such measures during the term of the contract.  Payment to the contractor is contingent upon realizing a guaranteed stream of future energy and cost savings, with any savings in excess of that guaranteed by the contractor accruing to the Federal Government.  The BOP has </w:t>
      </w:r>
      <w:r w:rsidR="00952120">
        <w:t>twenty</w:t>
      </w:r>
      <w:r>
        <w:t xml:space="preserve"> ESPCs in different phases, and plans to look into the utilization of these contracts at every institution where it is practical.  </w:t>
      </w:r>
    </w:p>
    <w:p w:rsidR="00C423D4" w:rsidRDefault="00C423D4" w:rsidP="00C423D4"/>
    <w:p w:rsidR="00C423D4" w:rsidRPr="00620BA7" w:rsidRDefault="00201FD0" w:rsidP="00C423D4">
      <w:r>
        <w:rPr>
          <w:lang w:val="en-CA"/>
        </w:rPr>
        <w:t>With 11</w:t>
      </w:r>
      <w:r w:rsidR="00227516">
        <w:rPr>
          <w:lang w:val="en-CA"/>
        </w:rPr>
        <w:t>6</w:t>
      </w:r>
      <w:r>
        <w:rPr>
          <w:lang w:val="en-CA"/>
        </w:rPr>
        <w:t xml:space="preserve"> federal prisons and </w:t>
      </w:r>
      <w:r w:rsidR="00463F37">
        <w:rPr>
          <w:lang w:val="en-CA"/>
        </w:rPr>
        <w:t>approximately</w:t>
      </w:r>
      <w:r>
        <w:rPr>
          <w:lang w:val="en-CA"/>
        </w:rPr>
        <w:t xml:space="preserve"> 21</w:t>
      </w:r>
      <w:r w:rsidR="00805464">
        <w:rPr>
          <w:lang w:val="en-CA"/>
        </w:rPr>
        <w:t>0</w:t>
      </w:r>
      <w:r>
        <w:rPr>
          <w:lang w:val="en-CA"/>
        </w:rPr>
        <w:t>,000 inmates, t</w:t>
      </w:r>
      <w:r w:rsidR="00C423D4" w:rsidRPr="00620BA7">
        <w:t xml:space="preserve">he BOP is the largest energy and water consumer in the Department of Justice.  Like all other government entities, the BOP is required to meet the goals established in the Energy Policy Act of 2005, the Energy Independence and Security Act of 2007 and Executive Order (EO) 13423.  </w:t>
      </w:r>
      <w:r w:rsidR="00C423D4">
        <w:t>As stated, the BOP</w:t>
      </w:r>
      <w:r w:rsidR="00C423D4" w:rsidRPr="00620BA7">
        <w:t xml:space="preserve"> </w:t>
      </w:r>
      <w:r w:rsidR="00C423D4">
        <w:t>is</w:t>
      </w:r>
      <w:r w:rsidR="00C423D4" w:rsidRPr="00620BA7">
        <w:t xml:space="preserve"> aggressively pursuing ESPC</w:t>
      </w:r>
      <w:r w:rsidR="00C423D4">
        <w:t>s</w:t>
      </w:r>
      <w:r w:rsidR="00C423D4" w:rsidRPr="00620BA7">
        <w:t xml:space="preserve"> to help meet these goals, but with our increasing inmate population and degrading infrastructure, ESPCs alone will not be enough.  Currently, on </w:t>
      </w:r>
      <w:r w:rsidR="00C423D4">
        <w:t>the</w:t>
      </w:r>
      <w:r w:rsidR="00D53665">
        <w:t xml:space="preserve"> M&amp;R back</w:t>
      </w:r>
      <w:r w:rsidR="00C423D4" w:rsidRPr="00620BA7">
        <w:t>log</w:t>
      </w:r>
      <w:r w:rsidR="00D53665">
        <w:t xml:space="preserve"> </w:t>
      </w:r>
      <w:r w:rsidR="00C423D4" w:rsidRPr="00620BA7">
        <w:t xml:space="preserve">list, </w:t>
      </w:r>
      <w:r w:rsidR="00C423D4">
        <w:t>there are approximately $30 million in</w:t>
      </w:r>
      <w:r w:rsidR="00C423D4" w:rsidRPr="00620BA7">
        <w:t xml:space="preserve"> energy related projects.  </w:t>
      </w:r>
      <w:r w:rsidR="00C423D4">
        <w:t>It is e</w:t>
      </w:r>
      <w:r w:rsidR="00C423D4" w:rsidRPr="00620BA7">
        <w:t>stimated that during the next five years, the BOP will need over $250 million in energy related M&amp;R funds to meet these goals.  As an example, Executive Order 13423 requires that by 2015, 15</w:t>
      </w:r>
      <w:r w:rsidR="00A62389">
        <w:t xml:space="preserve"> percent</w:t>
      </w:r>
      <w:r w:rsidR="00C423D4" w:rsidRPr="00620BA7">
        <w:t xml:space="preserve"> of </w:t>
      </w:r>
      <w:r w:rsidR="00C423D4">
        <w:t>BOP</w:t>
      </w:r>
      <w:r w:rsidR="00C423D4" w:rsidRPr="00620BA7">
        <w:t xml:space="preserve"> buildings</w:t>
      </w:r>
      <w:r w:rsidR="00C423D4">
        <w:t>/institutions</w:t>
      </w:r>
      <w:r w:rsidR="00C423D4" w:rsidRPr="00620BA7">
        <w:t xml:space="preserve"> are to be sustainable.  To be considered sustainable, these buildings have to meet the five guiding principles of sustainability.  </w:t>
      </w:r>
      <w:r w:rsidR="00C423D4">
        <w:t xml:space="preserve">An engineering firm </w:t>
      </w:r>
      <w:r w:rsidR="00C423D4" w:rsidRPr="00620BA7">
        <w:t>perform</w:t>
      </w:r>
      <w:r w:rsidR="00D53665">
        <w:t>ed</w:t>
      </w:r>
      <w:r w:rsidR="00C423D4" w:rsidRPr="00620BA7">
        <w:t xml:space="preserve"> a </w:t>
      </w:r>
      <w:r w:rsidR="00D53665">
        <w:t xml:space="preserve">contract </w:t>
      </w:r>
      <w:r w:rsidR="00C423D4" w:rsidRPr="00620BA7">
        <w:t>study on an existing institution to determine the estimate</w:t>
      </w:r>
      <w:r w:rsidR="001B474D">
        <w:t>d</w:t>
      </w:r>
      <w:r w:rsidR="00C423D4" w:rsidRPr="00620BA7">
        <w:t xml:space="preserve"> cost to meet these guiding principles.  The estimate for this work is approximately $3 million.  To meet the 15</w:t>
      </w:r>
      <w:r w:rsidR="00A62389">
        <w:t xml:space="preserve"> percent</w:t>
      </w:r>
      <w:r w:rsidR="00C423D4" w:rsidRPr="00620BA7">
        <w:t xml:space="preserve"> requirement, the BOP would have to make 17 prisons sustainable.  This alone would require approximately $51 million in M&amp;R funds.</w:t>
      </w:r>
    </w:p>
    <w:p w:rsidR="00C423D4" w:rsidRPr="00620BA7" w:rsidRDefault="00C423D4" w:rsidP="00C423D4"/>
    <w:p w:rsidR="00C423D4" w:rsidRPr="00620BA7" w:rsidRDefault="00C423D4" w:rsidP="00C423D4">
      <w:r w:rsidRPr="00620BA7">
        <w:t xml:space="preserve">Most recently, Executive Order </w:t>
      </w:r>
      <w:r w:rsidR="00D53665">
        <w:t xml:space="preserve">(EO) </w:t>
      </w:r>
      <w:r w:rsidRPr="00620BA7">
        <w:t xml:space="preserve">13514 was issued.  The purpose of this EO is to reduce Green House Gases government-wide.  This will require the BOP to reduce energy consumption even further.  </w:t>
      </w:r>
      <w:r>
        <w:t xml:space="preserve">It has not yet been </w:t>
      </w:r>
      <w:r w:rsidRPr="00620BA7">
        <w:t xml:space="preserve">determined how the BOP will meet the mandates of this EO, but </w:t>
      </w:r>
      <w:r>
        <w:t xml:space="preserve">it is </w:t>
      </w:r>
      <w:r w:rsidRPr="00620BA7">
        <w:t>anticipate</w:t>
      </w:r>
      <w:r>
        <w:t>d</w:t>
      </w:r>
      <w:r w:rsidRPr="00620BA7">
        <w:t xml:space="preserve"> that a significant amount of M&amp;R funds</w:t>
      </w:r>
      <w:r>
        <w:t xml:space="preserve"> will be needed</w:t>
      </w:r>
      <w:r w:rsidRPr="00620BA7">
        <w:t xml:space="preserve"> to get there.  </w:t>
      </w:r>
      <w:r>
        <w:t>Also, i</w:t>
      </w:r>
      <w:r w:rsidRPr="00620BA7">
        <w:t>n order to meet the requirements of this EO</w:t>
      </w:r>
      <w:r>
        <w:t>, old equipment will have to be replaced</w:t>
      </w:r>
      <w:r w:rsidR="001B474D">
        <w:t>, i.e.</w:t>
      </w:r>
      <w:r w:rsidRPr="00620BA7">
        <w:t xml:space="preserve"> boilers.  The BOP has 3</w:t>
      </w:r>
      <w:r w:rsidR="001B474D">
        <w:t>3</w:t>
      </w:r>
      <w:r w:rsidRPr="00620BA7">
        <w:t xml:space="preserve"> institutions that are over 50 years old and </w:t>
      </w:r>
      <w:r w:rsidR="00704D38" w:rsidRPr="00620BA7">
        <w:t>a large amount of equipment at these institutions is inefficient and emits</w:t>
      </w:r>
      <w:r w:rsidRPr="00620BA7">
        <w:t xml:space="preserve"> large quantities of green house gases.  The only viable solution is to replace th</w:t>
      </w:r>
      <w:r>
        <w:t>e</w:t>
      </w:r>
      <w:r w:rsidRPr="00620BA7">
        <w:t xml:space="preserve"> equipment</w:t>
      </w:r>
      <w:r>
        <w:t xml:space="preserve">, and </w:t>
      </w:r>
      <w:r w:rsidR="00201FD0">
        <w:t>the</w:t>
      </w:r>
      <w:r w:rsidR="00B90A72">
        <w:t>se</w:t>
      </w:r>
      <w:r w:rsidR="00201FD0">
        <w:t xml:space="preserve"> </w:t>
      </w:r>
      <w:r>
        <w:t xml:space="preserve">costs </w:t>
      </w:r>
      <w:r w:rsidRPr="00620BA7">
        <w:t xml:space="preserve">could exceed $50 million. </w:t>
      </w:r>
    </w:p>
    <w:p w:rsidR="00C423D4" w:rsidRPr="00620BA7" w:rsidRDefault="00C423D4" w:rsidP="00C423D4"/>
    <w:p w:rsidR="00CA178A" w:rsidRDefault="00C423D4" w:rsidP="00E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620BA7">
        <w:t xml:space="preserve">The BOP is also in the process of self certifying </w:t>
      </w:r>
      <w:r>
        <w:t xml:space="preserve">the </w:t>
      </w:r>
      <w:r w:rsidRPr="00620BA7">
        <w:t>Environmental Management Systems (EMS)</w:t>
      </w:r>
      <w:r w:rsidR="00EF753A">
        <w:t xml:space="preserve"> based on requirements of International Organization Standards 14001</w:t>
      </w:r>
      <w:r w:rsidRPr="00620BA7">
        <w:t xml:space="preserve">.  The main purpose of EMS is to identify operations which </w:t>
      </w:r>
      <w:r w:rsidR="00EF753A">
        <w:t>a</w:t>
      </w:r>
      <w:r w:rsidRPr="00620BA7">
        <w:t>ffect the environment.  During the self certification process, a survey team performs an inspection to de</w:t>
      </w:r>
      <w:r>
        <w:t>termine if the institution comp</w:t>
      </w:r>
      <w:r w:rsidRPr="00620BA7">
        <w:t>l</w:t>
      </w:r>
      <w:r>
        <w:t>i</w:t>
      </w:r>
      <w:r w:rsidRPr="00620BA7">
        <w:t xml:space="preserve">es with all environmental regulations.  </w:t>
      </w:r>
      <w:r w:rsidR="001B474D">
        <w:t xml:space="preserve">As a result of </w:t>
      </w:r>
      <w:r>
        <w:t>inspections</w:t>
      </w:r>
      <w:r w:rsidR="001B474D">
        <w:t xml:space="preserve">, the BOP </w:t>
      </w:r>
      <w:r w:rsidRPr="00620BA7">
        <w:t>ha</w:t>
      </w:r>
      <w:r w:rsidR="001B474D">
        <w:t>s</w:t>
      </w:r>
      <w:r w:rsidRPr="00620BA7">
        <w:t xml:space="preserve"> found that many institutions require infrastructure improvements to meet regulations.  </w:t>
      </w:r>
      <w:r>
        <w:t>For</w:t>
      </w:r>
      <w:r w:rsidRPr="00620BA7">
        <w:t xml:space="preserve"> example, after an inspection that took place at USP Atlanta, i</w:t>
      </w:r>
      <w:r>
        <w:t>t</w:t>
      </w:r>
      <w:r w:rsidRPr="00620BA7">
        <w:t xml:space="preserve"> was determined that the underground fuel tanks would have to be replaced to meet the current standards.  The cost of this work </w:t>
      </w:r>
      <w:r w:rsidR="00EF753A">
        <w:t>i</w:t>
      </w:r>
      <w:r w:rsidRPr="00620BA7">
        <w:t xml:space="preserve">s approximately $350,000.  </w:t>
      </w:r>
      <w:r>
        <w:t>The total</w:t>
      </w:r>
      <w:r w:rsidRPr="00620BA7">
        <w:t xml:space="preserve"> </w:t>
      </w:r>
      <w:r>
        <w:t xml:space="preserve">cost </w:t>
      </w:r>
      <w:r w:rsidRPr="00620BA7">
        <w:t>estimate t</w:t>
      </w:r>
      <w:r>
        <w:t>o provide the</w:t>
      </w:r>
      <w:r w:rsidRPr="00620BA7">
        <w:t xml:space="preserve"> necessary repairs</w:t>
      </w:r>
      <w:r>
        <w:t>,</w:t>
      </w:r>
      <w:r w:rsidRPr="00620BA7">
        <w:t xml:space="preserve"> </w:t>
      </w:r>
      <w:r w:rsidR="00EF753A">
        <w:t>B</w:t>
      </w:r>
      <w:r w:rsidRPr="00620BA7">
        <w:t>ureau-wide</w:t>
      </w:r>
      <w:r>
        <w:t>,</w:t>
      </w:r>
      <w:r w:rsidRPr="00620BA7">
        <w:t xml:space="preserve"> could </w:t>
      </w:r>
      <w:r>
        <w:t xml:space="preserve">amount to </w:t>
      </w:r>
      <w:r w:rsidRPr="00620BA7">
        <w:t>$10 million.  If these repairs are not made, BOP will be subjected to p</w:t>
      </w:r>
      <w:r w:rsidR="00470AA0">
        <w:t>ossibl</w:t>
      </w:r>
      <w:r w:rsidRPr="00620BA7">
        <w:t xml:space="preserve">e fines by the EPA, and </w:t>
      </w:r>
      <w:r w:rsidR="000A51E3">
        <w:t xml:space="preserve">even </w:t>
      </w:r>
      <w:r w:rsidR="001B474D">
        <w:t>worse</w:t>
      </w:r>
      <w:r w:rsidR="000A51E3">
        <w:t>,</w:t>
      </w:r>
      <w:r w:rsidRPr="00620BA7">
        <w:t xml:space="preserve"> could have an incident that damages the environment.</w:t>
      </w:r>
    </w:p>
    <w:p w:rsidR="004637EE" w:rsidRDefault="004637EE" w:rsidP="004637EE">
      <w:pPr>
        <w:widowControl w:val="0"/>
        <w:rPr>
          <w:b/>
        </w:rPr>
      </w:pPr>
      <w:r>
        <w:rPr>
          <w:lang w:val="en-CA"/>
        </w:rPr>
        <w:br w:type="page"/>
      </w:r>
      <w:r w:rsidRPr="006834B7">
        <w:rPr>
          <w:b/>
        </w:rPr>
        <w:lastRenderedPageBreak/>
        <w:t>II</w:t>
      </w:r>
      <w:r>
        <w:rPr>
          <w:b/>
        </w:rPr>
        <w:t xml:space="preserve">.  </w:t>
      </w:r>
      <w:r w:rsidRPr="006834B7">
        <w:rPr>
          <w:b/>
        </w:rPr>
        <w:t xml:space="preserve"> Summary of Program Changes</w:t>
      </w:r>
      <w:r>
        <w:rPr>
          <w:b/>
        </w:rPr>
        <w:t xml:space="preserve"> </w:t>
      </w:r>
    </w:p>
    <w:p w:rsidR="004637EE" w:rsidRDefault="004637EE" w:rsidP="004637EE">
      <w:pPr>
        <w:widowControl w:val="0"/>
        <w:rPr>
          <w:b/>
        </w:rPr>
      </w:pPr>
    </w:p>
    <w:p w:rsidR="004637EE" w:rsidRDefault="004637EE" w:rsidP="004637EE">
      <w:pPr>
        <w:widowControl w:val="0"/>
        <w:rPr>
          <w:b/>
        </w:rPr>
      </w:pPr>
    </w:p>
    <w:p w:rsidR="004637EE" w:rsidRDefault="004637EE" w:rsidP="004637EE">
      <w:pPr>
        <w:widowControl w:val="0"/>
        <w:rPr>
          <w:b/>
        </w:rPr>
      </w:pPr>
    </w:p>
    <w:tbl>
      <w:tblPr>
        <w:tblW w:w="0" w:type="auto"/>
        <w:tblBorders>
          <w:top w:val="single" w:sz="4" w:space="0" w:color="auto"/>
          <w:left w:val="single" w:sz="4" w:space="0" w:color="auto"/>
          <w:right w:val="single" w:sz="4" w:space="0" w:color="auto"/>
          <w:insideV w:val="single" w:sz="4" w:space="0" w:color="auto"/>
        </w:tblBorders>
        <w:tblLook w:val="0000"/>
      </w:tblPr>
      <w:tblGrid>
        <w:gridCol w:w="2110"/>
        <w:gridCol w:w="3865"/>
        <w:gridCol w:w="566"/>
        <w:gridCol w:w="605"/>
        <w:gridCol w:w="1083"/>
        <w:gridCol w:w="627"/>
      </w:tblGrid>
      <w:tr w:rsidR="004637EE" w:rsidRPr="00B14079" w:rsidTr="00E773F7">
        <w:trPr>
          <w:cantSplit/>
        </w:trPr>
        <w:tc>
          <w:tcPr>
            <w:tcW w:w="0" w:type="auto"/>
            <w:vMerge w:val="restart"/>
            <w:tcBorders>
              <w:top w:val="single" w:sz="4" w:space="0" w:color="auto"/>
            </w:tcBorders>
            <w:shd w:val="clear" w:color="auto" w:fill="F2F2F2" w:themeFill="background1" w:themeFillShade="F2"/>
          </w:tcPr>
          <w:p w:rsidR="004637EE" w:rsidRPr="00E773F7" w:rsidRDefault="004637EE" w:rsidP="004637EE">
            <w:pPr>
              <w:pStyle w:val="BodyText"/>
              <w:jc w:val="center"/>
              <w:rPr>
                <w:b/>
                <w:bCs/>
                <w:sz w:val="20"/>
              </w:rPr>
            </w:pPr>
          </w:p>
          <w:p w:rsidR="004637EE" w:rsidRPr="00E773F7" w:rsidRDefault="004637EE" w:rsidP="004637EE">
            <w:pPr>
              <w:pStyle w:val="BodyText"/>
              <w:jc w:val="center"/>
              <w:rPr>
                <w:b/>
                <w:bCs/>
                <w:sz w:val="20"/>
              </w:rPr>
            </w:pPr>
            <w:r w:rsidRPr="00E773F7">
              <w:rPr>
                <w:b/>
                <w:bCs/>
                <w:sz w:val="20"/>
              </w:rPr>
              <w:t>Item Name</w:t>
            </w:r>
          </w:p>
        </w:tc>
        <w:tc>
          <w:tcPr>
            <w:tcW w:w="0" w:type="auto"/>
            <w:gridSpan w:val="4"/>
            <w:tcBorders>
              <w:top w:val="single" w:sz="4" w:space="0" w:color="auto"/>
              <w:bottom w:val="single" w:sz="4" w:space="0" w:color="auto"/>
            </w:tcBorders>
            <w:shd w:val="clear" w:color="auto" w:fill="F2F2F2" w:themeFill="background1" w:themeFillShade="F2"/>
          </w:tcPr>
          <w:p w:rsidR="004637EE" w:rsidRPr="00E773F7" w:rsidRDefault="004637EE" w:rsidP="004637EE">
            <w:pPr>
              <w:pStyle w:val="BodyText"/>
              <w:jc w:val="center"/>
              <w:rPr>
                <w:b/>
                <w:bCs/>
                <w:sz w:val="20"/>
              </w:rPr>
            </w:pPr>
          </w:p>
          <w:p w:rsidR="004637EE" w:rsidRPr="00E773F7" w:rsidRDefault="004637EE" w:rsidP="004637EE">
            <w:pPr>
              <w:pStyle w:val="BodyText"/>
              <w:jc w:val="center"/>
              <w:rPr>
                <w:b/>
                <w:bCs/>
                <w:sz w:val="20"/>
              </w:rPr>
            </w:pPr>
            <w:r w:rsidRPr="00E773F7" w:rsidDel="00B14079">
              <w:rPr>
                <w:b/>
                <w:bCs/>
                <w:sz w:val="20"/>
              </w:rPr>
              <w:t>Description</w:t>
            </w:r>
          </w:p>
        </w:tc>
        <w:tc>
          <w:tcPr>
            <w:tcW w:w="0" w:type="auto"/>
            <w:vMerge w:val="restart"/>
            <w:tcBorders>
              <w:top w:val="single" w:sz="4" w:space="0" w:color="auto"/>
            </w:tcBorders>
            <w:shd w:val="clear" w:color="auto" w:fill="F2F2F2" w:themeFill="background1" w:themeFillShade="F2"/>
          </w:tcPr>
          <w:p w:rsidR="004637EE" w:rsidRPr="00E773F7" w:rsidRDefault="004637EE" w:rsidP="004637EE">
            <w:pPr>
              <w:pStyle w:val="BodyText"/>
              <w:jc w:val="center"/>
              <w:rPr>
                <w:b/>
                <w:bCs/>
                <w:sz w:val="20"/>
              </w:rPr>
            </w:pPr>
          </w:p>
          <w:p w:rsidR="004637EE" w:rsidRPr="00E773F7" w:rsidRDefault="004637EE" w:rsidP="004637EE">
            <w:pPr>
              <w:pStyle w:val="BodyText"/>
              <w:jc w:val="center"/>
              <w:rPr>
                <w:b/>
                <w:bCs/>
                <w:sz w:val="20"/>
              </w:rPr>
            </w:pPr>
            <w:r w:rsidRPr="00E773F7">
              <w:rPr>
                <w:b/>
                <w:bCs/>
                <w:sz w:val="20"/>
              </w:rPr>
              <w:t>Page</w:t>
            </w:r>
          </w:p>
        </w:tc>
      </w:tr>
      <w:tr w:rsidR="00E43118" w:rsidRPr="00B14079" w:rsidTr="00E773F7">
        <w:trPr>
          <w:cantSplit/>
        </w:trPr>
        <w:tc>
          <w:tcPr>
            <w:tcW w:w="0" w:type="auto"/>
            <w:vMerge/>
            <w:tcBorders>
              <w:bottom w:val="single" w:sz="4" w:space="0" w:color="auto"/>
            </w:tcBorders>
          </w:tcPr>
          <w:p w:rsidR="004637EE" w:rsidRPr="00EF2126" w:rsidRDefault="004637EE" w:rsidP="004637EE">
            <w:pPr>
              <w:pStyle w:val="BodyText"/>
              <w:jc w:val="center"/>
              <w:rPr>
                <w:b/>
                <w:bCs/>
                <w:sz w:val="20"/>
              </w:rPr>
            </w:pPr>
          </w:p>
        </w:tc>
        <w:tc>
          <w:tcPr>
            <w:tcW w:w="0" w:type="auto"/>
            <w:tcBorders>
              <w:top w:val="single" w:sz="4" w:space="0" w:color="auto"/>
              <w:bottom w:val="single" w:sz="4" w:space="0" w:color="auto"/>
            </w:tcBorders>
            <w:shd w:val="clear" w:color="auto" w:fill="F2F2F2" w:themeFill="background1" w:themeFillShade="F2"/>
          </w:tcPr>
          <w:p w:rsidR="004637EE" w:rsidRPr="00ED4407" w:rsidRDefault="004637EE" w:rsidP="004637EE">
            <w:pPr>
              <w:pStyle w:val="BodyText"/>
              <w:jc w:val="center"/>
              <w:rPr>
                <w:b/>
                <w:bCs/>
                <w:sz w:val="20"/>
              </w:rPr>
            </w:pPr>
          </w:p>
        </w:tc>
        <w:tc>
          <w:tcPr>
            <w:tcW w:w="0" w:type="auto"/>
            <w:tcBorders>
              <w:top w:val="single" w:sz="4" w:space="0" w:color="auto"/>
              <w:bottom w:val="single" w:sz="4" w:space="0" w:color="auto"/>
            </w:tcBorders>
            <w:shd w:val="clear" w:color="auto" w:fill="F2F2F2" w:themeFill="background1" w:themeFillShade="F2"/>
          </w:tcPr>
          <w:p w:rsidR="004637EE" w:rsidRPr="00ED4407" w:rsidRDefault="004637EE" w:rsidP="004637EE">
            <w:pPr>
              <w:pStyle w:val="BodyText"/>
              <w:jc w:val="center"/>
              <w:rPr>
                <w:b/>
                <w:bCs/>
                <w:sz w:val="20"/>
              </w:rPr>
            </w:pPr>
          </w:p>
          <w:p w:rsidR="004637EE" w:rsidRPr="00ED4407" w:rsidRDefault="004637EE" w:rsidP="004637EE">
            <w:pPr>
              <w:pStyle w:val="BodyText"/>
              <w:jc w:val="center"/>
              <w:rPr>
                <w:b/>
                <w:bCs/>
                <w:sz w:val="20"/>
              </w:rPr>
            </w:pPr>
            <w:r w:rsidRPr="00ED4407">
              <w:rPr>
                <w:b/>
                <w:bCs/>
                <w:sz w:val="20"/>
              </w:rPr>
              <w:t>Pos.</w:t>
            </w:r>
          </w:p>
        </w:tc>
        <w:tc>
          <w:tcPr>
            <w:tcW w:w="0" w:type="auto"/>
            <w:tcBorders>
              <w:top w:val="single" w:sz="4" w:space="0" w:color="auto"/>
              <w:bottom w:val="single" w:sz="4" w:space="0" w:color="auto"/>
            </w:tcBorders>
            <w:shd w:val="clear" w:color="auto" w:fill="F2F2F2" w:themeFill="background1" w:themeFillShade="F2"/>
          </w:tcPr>
          <w:p w:rsidR="004637EE" w:rsidRPr="00ED4407" w:rsidRDefault="004637EE" w:rsidP="004637EE">
            <w:pPr>
              <w:pStyle w:val="BodyText"/>
              <w:jc w:val="center"/>
              <w:rPr>
                <w:b/>
                <w:bCs/>
                <w:sz w:val="20"/>
              </w:rPr>
            </w:pPr>
          </w:p>
          <w:p w:rsidR="004637EE" w:rsidRPr="00ED4407" w:rsidRDefault="004637EE" w:rsidP="004637EE">
            <w:pPr>
              <w:pStyle w:val="BodyText"/>
              <w:jc w:val="center"/>
              <w:rPr>
                <w:b/>
                <w:bCs/>
                <w:sz w:val="20"/>
              </w:rPr>
            </w:pPr>
            <w:r w:rsidRPr="00ED4407">
              <w:rPr>
                <w:b/>
                <w:bCs/>
                <w:sz w:val="20"/>
              </w:rPr>
              <w:t>FTE</w:t>
            </w:r>
          </w:p>
        </w:tc>
        <w:tc>
          <w:tcPr>
            <w:tcW w:w="0" w:type="auto"/>
            <w:tcBorders>
              <w:top w:val="single" w:sz="4" w:space="0" w:color="auto"/>
              <w:bottom w:val="single" w:sz="4" w:space="0" w:color="auto"/>
            </w:tcBorders>
            <w:shd w:val="clear" w:color="auto" w:fill="F2F2F2" w:themeFill="background1" w:themeFillShade="F2"/>
          </w:tcPr>
          <w:p w:rsidR="004637EE" w:rsidRPr="00ED4407" w:rsidRDefault="004637EE" w:rsidP="004637EE">
            <w:pPr>
              <w:pStyle w:val="BodyText"/>
              <w:jc w:val="center"/>
              <w:rPr>
                <w:b/>
                <w:bCs/>
                <w:sz w:val="20"/>
              </w:rPr>
            </w:pPr>
            <w:r w:rsidRPr="00ED4407">
              <w:rPr>
                <w:b/>
                <w:bCs/>
                <w:sz w:val="20"/>
              </w:rPr>
              <w:t>Dollars ($000)</w:t>
            </w:r>
          </w:p>
        </w:tc>
        <w:tc>
          <w:tcPr>
            <w:tcW w:w="0" w:type="auto"/>
            <w:vMerge/>
            <w:tcBorders>
              <w:bottom w:val="single" w:sz="4" w:space="0" w:color="auto"/>
            </w:tcBorders>
          </w:tcPr>
          <w:p w:rsidR="004637EE" w:rsidRPr="00ED4407" w:rsidRDefault="004637EE" w:rsidP="004637EE">
            <w:pPr>
              <w:pStyle w:val="BodyText"/>
              <w:jc w:val="center"/>
              <w:rPr>
                <w:b/>
                <w:bCs/>
                <w:sz w:val="20"/>
              </w:rPr>
            </w:pPr>
          </w:p>
        </w:tc>
      </w:tr>
      <w:tr w:rsidR="00E43118" w:rsidRPr="00B14079" w:rsidTr="00E773F7">
        <w:tc>
          <w:tcPr>
            <w:tcW w:w="0" w:type="auto"/>
            <w:tcBorders>
              <w:top w:val="single" w:sz="4" w:space="0" w:color="auto"/>
              <w:bottom w:val="single" w:sz="4" w:space="0" w:color="auto"/>
            </w:tcBorders>
          </w:tcPr>
          <w:p w:rsidR="00B14079" w:rsidRPr="00E773F7" w:rsidRDefault="00B14079" w:rsidP="00ED4407">
            <w:pPr>
              <w:pStyle w:val="BodyText"/>
              <w:rPr>
                <w:bCs/>
                <w:sz w:val="20"/>
              </w:rPr>
            </w:pPr>
          </w:p>
          <w:p w:rsidR="004637EE" w:rsidRPr="00E773F7" w:rsidRDefault="004637EE" w:rsidP="00ED4407">
            <w:pPr>
              <w:pStyle w:val="BodyText"/>
              <w:rPr>
                <w:bCs/>
                <w:sz w:val="20"/>
              </w:rPr>
            </w:pPr>
            <w:r w:rsidRPr="00E773F7">
              <w:rPr>
                <w:bCs/>
                <w:sz w:val="20"/>
              </w:rPr>
              <w:t>Rescission of Prior Years’ New Construction Unobligated Balances</w:t>
            </w:r>
          </w:p>
        </w:tc>
        <w:tc>
          <w:tcPr>
            <w:tcW w:w="0" w:type="auto"/>
            <w:tcBorders>
              <w:top w:val="single" w:sz="4" w:space="0" w:color="auto"/>
              <w:bottom w:val="single" w:sz="4" w:space="0" w:color="auto"/>
            </w:tcBorders>
            <w:vAlign w:val="center"/>
          </w:tcPr>
          <w:p w:rsidR="00B14079" w:rsidRPr="00E773F7" w:rsidRDefault="00B14079" w:rsidP="00ED4407">
            <w:pPr>
              <w:pStyle w:val="BodyText"/>
              <w:rPr>
                <w:bCs/>
                <w:sz w:val="20"/>
              </w:rPr>
            </w:pPr>
          </w:p>
          <w:p w:rsidR="00E92FC9" w:rsidRPr="00E773F7" w:rsidRDefault="00B14079" w:rsidP="00ED4407">
            <w:pPr>
              <w:pStyle w:val="BodyText"/>
              <w:rPr>
                <w:bCs/>
                <w:sz w:val="20"/>
              </w:rPr>
            </w:pPr>
            <w:r w:rsidRPr="00E773F7">
              <w:rPr>
                <w:bCs/>
                <w:sz w:val="20"/>
              </w:rPr>
              <w:t xml:space="preserve">Rescind Prior Year Unobligated Balances and </w:t>
            </w:r>
            <w:r w:rsidR="004637EE" w:rsidRPr="00E773F7">
              <w:rPr>
                <w:bCs/>
                <w:sz w:val="20"/>
              </w:rPr>
              <w:t>Reduce Construction Project</w:t>
            </w:r>
            <w:r w:rsidRPr="00E773F7">
              <w:rPr>
                <w:bCs/>
                <w:sz w:val="20"/>
              </w:rPr>
              <w:t xml:space="preserve"> Funding</w:t>
            </w:r>
            <w:r w:rsidR="004637EE" w:rsidRPr="00E773F7">
              <w:rPr>
                <w:bCs/>
                <w:sz w:val="20"/>
              </w:rPr>
              <w:t>:</w:t>
            </w:r>
          </w:p>
          <w:p w:rsidR="00E92FC9" w:rsidRPr="00ED4407" w:rsidRDefault="009C4029" w:rsidP="00ED4407">
            <w:pPr>
              <w:pStyle w:val="BodyText"/>
              <w:numPr>
                <w:ilvl w:val="0"/>
                <w:numId w:val="30"/>
              </w:numPr>
              <w:rPr>
                <w:bCs/>
                <w:sz w:val="20"/>
              </w:rPr>
            </w:pPr>
            <w:r>
              <w:rPr>
                <w:bCs/>
                <w:sz w:val="20"/>
              </w:rPr>
              <w:t>$30 million from the “Acquire</w:t>
            </w:r>
            <w:r w:rsidR="004637EE" w:rsidRPr="00ED4407">
              <w:rPr>
                <w:bCs/>
                <w:sz w:val="20"/>
              </w:rPr>
              <w:t xml:space="preserve"> Existing Institution for Higher Security FCI” project</w:t>
            </w:r>
          </w:p>
          <w:p w:rsidR="004637EE" w:rsidRPr="00ED4407" w:rsidRDefault="004637EE" w:rsidP="00ED4407">
            <w:pPr>
              <w:pStyle w:val="BodyText"/>
              <w:numPr>
                <w:ilvl w:val="0"/>
                <w:numId w:val="30"/>
              </w:numPr>
              <w:rPr>
                <w:bCs/>
                <w:sz w:val="20"/>
              </w:rPr>
            </w:pPr>
            <w:r w:rsidRPr="00ED4407">
              <w:rPr>
                <w:bCs/>
                <w:sz w:val="20"/>
              </w:rPr>
              <w:t xml:space="preserve">$5 </w:t>
            </w:r>
            <w:r w:rsidR="00E43118" w:rsidRPr="00ED4407">
              <w:rPr>
                <w:bCs/>
                <w:sz w:val="20"/>
              </w:rPr>
              <w:t>m</w:t>
            </w:r>
            <w:r w:rsidRPr="00ED4407">
              <w:rPr>
                <w:bCs/>
                <w:sz w:val="20"/>
              </w:rPr>
              <w:t xml:space="preserve">illion from </w:t>
            </w:r>
            <w:r w:rsidR="00056267" w:rsidRPr="00ED4407">
              <w:rPr>
                <w:bCs/>
                <w:sz w:val="20"/>
              </w:rPr>
              <w:t>p</w:t>
            </w:r>
            <w:r w:rsidRPr="00ED4407">
              <w:rPr>
                <w:bCs/>
                <w:sz w:val="20"/>
              </w:rPr>
              <w:t xml:space="preserve">artially </w:t>
            </w:r>
            <w:r w:rsidR="00056267" w:rsidRPr="00ED4407">
              <w:rPr>
                <w:bCs/>
                <w:sz w:val="20"/>
              </w:rPr>
              <w:t>f</w:t>
            </w:r>
            <w:r w:rsidRPr="00ED4407">
              <w:rPr>
                <w:bCs/>
                <w:sz w:val="20"/>
              </w:rPr>
              <w:t xml:space="preserve">unded “FCI </w:t>
            </w:r>
            <w:r w:rsidR="00485272" w:rsidRPr="00ED4407">
              <w:rPr>
                <w:bCs/>
                <w:sz w:val="20"/>
              </w:rPr>
              <w:t>Midwestern/</w:t>
            </w:r>
            <w:r w:rsidRPr="00ED4407">
              <w:rPr>
                <w:bCs/>
                <w:sz w:val="20"/>
              </w:rPr>
              <w:t>Leavenworth, KS” project.</w:t>
            </w:r>
          </w:p>
        </w:tc>
        <w:tc>
          <w:tcPr>
            <w:tcW w:w="0" w:type="auto"/>
            <w:tcBorders>
              <w:top w:val="single" w:sz="4" w:space="0" w:color="auto"/>
              <w:bottom w:val="single" w:sz="4" w:space="0" w:color="auto"/>
            </w:tcBorders>
            <w:vAlign w:val="center"/>
          </w:tcPr>
          <w:p w:rsidR="00B14079" w:rsidRPr="00ED4407" w:rsidRDefault="00B14079" w:rsidP="004637EE">
            <w:pPr>
              <w:pStyle w:val="BodyText"/>
              <w:jc w:val="center"/>
              <w:rPr>
                <w:bCs/>
                <w:sz w:val="20"/>
              </w:rPr>
            </w:pPr>
          </w:p>
          <w:p w:rsidR="004637EE" w:rsidRPr="00ED4407" w:rsidRDefault="004637EE" w:rsidP="004637EE">
            <w:pPr>
              <w:pStyle w:val="BodyText"/>
              <w:jc w:val="center"/>
              <w:rPr>
                <w:bCs/>
                <w:sz w:val="20"/>
              </w:rPr>
            </w:pPr>
            <w:r w:rsidRPr="00ED4407">
              <w:rPr>
                <w:bCs/>
                <w:sz w:val="20"/>
              </w:rPr>
              <w:t>0</w:t>
            </w:r>
          </w:p>
          <w:p w:rsidR="00B14079" w:rsidRPr="00ED4407" w:rsidRDefault="00B14079" w:rsidP="004637EE">
            <w:pPr>
              <w:pStyle w:val="BodyText"/>
              <w:jc w:val="center"/>
              <w:rPr>
                <w:bCs/>
                <w:sz w:val="20"/>
              </w:rPr>
            </w:pPr>
          </w:p>
          <w:p w:rsidR="00B14079" w:rsidRPr="00ED4407" w:rsidRDefault="00B14079" w:rsidP="004637EE">
            <w:pPr>
              <w:pStyle w:val="BodyText"/>
              <w:jc w:val="center"/>
              <w:rPr>
                <w:bCs/>
                <w:sz w:val="20"/>
              </w:rPr>
            </w:pPr>
          </w:p>
          <w:p w:rsidR="00B14079" w:rsidRPr="00ED4407" w:rsidRDefault="00B14079" w:rsidP="00B14079">
            <w:pPr>
              <w:pStyle w:val="BodyText"/>
              <w:jc w:val="center"/>
              <w:rPr>
                <w:bCs/>
                <w:sz w:val="20"/>
              </w:rPr>
            </w:pPr>
            <w:r w:rsidRPr="00ED4407">
              <w:rPr>
                <w:bCs/>
                <w:sz w:val="20"/>
              </w:rPr>
              <w:t>0</w:t>
            </w:r>
          </w:p>
        </w:tc>
        <w:tc>
          <w:tcPr>
            <w:tcW w:w="0" w:type="auto"/>
            <w:tcBorders>
              <w:top w:val="single" w:sz="4" w:space="0" w:color="auto"/>
              <w:bottom w:val="single" w:sz="4" w:space="0" w:color="auto"/>
            </w:tcBorders>
            <w:vAlign w:val="center"/>
          </w:tcPr>
          <w:p w:rsidR="00B14079" w:rsidRPr="00ED4407" w:rsidRDefault="00B14079" w:rsidP="004637EE">
            <w:pPr>
              <w:pStyle w:val="BodyText"/>
              <w:jc w:val="center"/>
              <w:rPr>
                <w:bCs/>
                <w:sz w:val="20"/>
              </w:rPr>
            </w:pPr>
          </w:p>
          <w:p w:rsidR="004637EE" w:rsidRPr="00ED4407" w:rsidRDefault="004637EE" w:rsidP="004637EE">
            <w:pPr>
              <w:pStyle w:val="BodyText"/>
              <w:jc w:val="center"/>
              <w:rPr>
                <w:bCs/>
                <w:sz w:val="20"/>
              </w:rPr>
            </w:pPr>
            <w:r w:rsidRPr="00ED4407">
              <w:rPr>
                <w:bCs/>
                <w:sz w:val="20"/>
              </w:rPr>
              <w:t>0</w:t>
            </w:r>
          </w:p>
          <w:p w:rsidR="00B14079" w:rsidRPr="00ED4407" w:rsidRDefault="00B14079" w:rsidP="004637EE">
            <w:pPr>
              <w:pStyle w:val="BodyText"/>
              <w:jc w:val="center"/>
              <w:rPr>
                <w:bCs/>
                <w:sz w:val="20"/>
              </w:rPr>
            </w:pPr>
          </w:p>
          <w:p w:rsidR="00B14079" w:rsidRPr="00ED4407" w:rsidRDefault="00B14079" w:rsidP="004637EE">
            <w:pPr>
              <w:pStyle w:val="BodyText"/>
              <w:jc w:val="center"/>
              <w:rPr>
                <w:bCs/>
                <w:sz w:val="20"/>
              </w:rPr>
            </w:pPr>
          </w:p>
          <w:p w:rsidR="00B14079" w:rsidRPr="00ED4407" w:rsidRDefault="00B14079" w:rsidP="004637EE">
            <w:pPr>
              <w:pStyle w:val="BodyText"/>
              <w:jc w:val="center"/>
              <w:rPr>
                <w:bCs/>
                <w:sz w:val="20"/>
              </w:rPr>
            </w:pPr>
            <w:r w:rsidRPr="00ED4407">
              <w:rPr>
                <w:bCs/>
                <w:sz w:val="20"/>
              </w:rPr>
              <w:t>0</w:t>
            </w:r>
          </w:p>
        </w:tc>
        <w:tc>
          <w:tcPr>
            <w:tcW w:w="0" w:type="auto"/>
            <w:tcBorders>
              <w:top w:val="single" w:sz="4" w:space="0" w:color="auto"/>
              <w:bottom w:val="single" w:sz="4" w:space="0" w:color="auto"/>
            </w:tcBorders>
            <w:vAlign w:val="center"/>
          </w:tcPr>
          <w:p w:rsidR="00B14079" w:rsidRPr="00ED4407" w:rsidRDefault="00B14079" w:rsidP="00ED4407">
            <w:pPr>
              <w:pStyle w:val="BodyText"/>
              <w:jc w:val="right"/>
              <w:rPr>
                <w:bCs/>
                <w:sz w:val="20"/>
              </w:rPr>
            </w:pPr>
          </w:p>
          <w:p w:rsidR="004637EE" w:rsidRPr="00ED4407" w:rsidRDefault="00E43118" w:rsidP="00ED4407">
            <w:pPr>
              <w:pStyle w:val="BodyText"/>
              <w:jc w:val="right"/>
              <w:rPr>
                <w:bCs/>
                <w:sz w:val="20"/>
              </w:rPr>
            </w:pPr>
            <w:r w:rsidRPr="00ED4407">
              <w:rPr>
                <w:bCs/>
                <w:sz w:val="20"/>
              </w:rPr>
              <w:t>(</w:t>
            </w:r>
            <w:r w:rsidR="004637EE" w:rsidRPr="00ED4407">
              <w:rPr>
                <w:bCs/>
                <w:sz w:val="20"/>
              </w:rPr>
              <w:t>3</w:t>
            </w:r>
            <w:r w:rsidR="00B14079" w:rsidRPr="00ED4407">
              <w:rPr>
                <w:bCs/>
                <w:sz w:val="20"/>
              </w:rPr>
              <w:t>0</w:t>
            </w:r>
            <w:r w:rsidR="004637EE" w:rsidRPr="00ED4407">
              <w:rPr>
                <w:bCs/>
                <w:sz w:val="20"/>
              </w:rPr>
              <w:t>,000</w:t>
            </w:r>
            <w:r w:rsidRPr="00ED4407">
              <w:rPr>
                <w:bCs/>
                <w:sz w:val="20"/>
              </w:rPr>
              <w:t>)</w:t>
            </w:r>
          </w:p>
          <w:p w:rsidR="00B14079" w:rsidRPr="00ED4407" w:rsidRDefault="00B14079" w:rsidP="00ED4407">
            <w:pPr>
              <w:pStyle w:val="BodyText"/>
              <w:jc w:val="right"/>
              <w:rPr>
                <w:bCs/>
                <w:sz w:val="20"/>
              </w:rPr>
            </w:pPr>
          </w:p>
          <w:p w:rsidR="00B14079" w:rsidRPr="00ED4407" w:rsidRDefault="00B14079" w:rsidP="00ED4407">
            <w:pPr>
              <w:pStyle w:val="BodyText"/>
              <w:jc w:val="right"/>
              <w:rPr>
                <w:bCs/>
                <w:sz w:val="20"/>
              </w:rPr>
            </w:pPr>
          </w:p>
          <w:p w:rsidR="00B14079" w:rsidRPr="00ED4407" w:rsidRDefault="00B14079" w:rsidP="00ED4407">
            <w:pPr>
              <w:pStyle w:val="BodyText"/>
              <w:jc w:val="right"/>
              <w:rPr>
                <w:bCs/>
                <w:sz w:val="20"/>
              </w:rPr>
            </w:pPr>
            <w:r w:rsidRPr="00ED4407">
              <w:rPr>
                <w:bCs/>
                <w:sz w:val="20"/>
              </w:rPr>
              <w:t>(5,000)</w:t>
            </w:r>
          </w:p>
        </w:tc>
        <w:tc>
          <w:tcPr>
            <w:tcW w:w="0" w:type="auto"/>
            <w:tcBorders>
              <w:top w:val="single" w:sz="4" w:space="0" w:color="auto"/>
              <w:bottom w:val="single" w:sz="4" w:space="0" w:color="auto"/>
            </w:tcBorders>
          </w:tcPr>
          <w:p w:rsidR="00B14079" w:rsidRPr="00ED4407" w:rsidRDefault="00B14079" w:rsidP="00B14079">
            <w:pPr>
              <w:pStyle w:val="BodyText"/>
              <w:jc w:val="center"/>
              <w:rPr>
                <w:b/>
                <w:bCs/>
                <w:sz w:val="20"/>
              </w:rPr>
            </w:pPr>
          </w:p>
          <w:p w:rsidR="004637EE" w:rsidRPr="00ED4407" w:rsidRDefault="00915849" w:rsidP="00B14079">
            <w:pPr>
              <w:pStyle w:val="BodyText"/>
              <w:jc w:val="center"/>
              <w:rPr>
                <w:bCs/>
                <w:sz w:val="20"/>
              </w:rPr>
            </w:pPr>
            <w:r w:rsidRPr="00ED4407">
              <w:rPr>
                <w:bCs/>
                <w:sz w:val="20"/>
              </w:rPr>
              <w:t>3</w:t>
            </w:r>
            <w:r w:rsidR="0083331D">
              <w:rPr>
                <w:bCs/>
                <w:sz w:val="20"/>
              </w:rPr>
              <w:t>0</w:t>
            </w:r>
          </w:p>
          <w:p w:rsidR="00B14079" w:rsidRPr="00ED4407" w:rsidRDefault="00B14079" w:rsidP="00B14079">
            <w:pPr>
              <w:pStyle w:val="BodyText"/>
              <w:jc w:val="center"/>
              <w:rPr>
                <w:b/>
                <w:bCs/>
                <w:sz w:val="20"/>
              </w:rPr>
            </w:pPr>
          </w:p>
        </w:tc>
      </w:tr>
      <w:tr w:rsidR="00E43118" w:rsidRPr="00B14079" w:rsidTr="004637EE">
        <w:tc>
          <w:tcPr>
            <w:tcW w:w="0" w:type="auto"/>
            <w:tcBorders>
              <w:top w:val="single" w:sz="4" w:space="0" w:color="auto"/>
              <w:bottom w:val="single" w:sz="4" w:space="0" w:color="auto"/>
            </w:tcBorders>
            <w:vAlign w:val="center"/>
          </w:tcPr>
          <w:p w:rsidR="004637EE" w:rsidRPr="00ED4407" w:rsidRDefault="004637EE" w:rsidP="00ED4407">
            <w:pPr>
              <w:pStyle w:val="BodyText"/>
              <w:rPr>
                <w:b/>
                <w:bCs/>
                <w:sz w:val="20"/>
              </w:rPr>
            </w:pPr>
            <w:r w:rsidRPr="00ED4407">
              <w:rPr>
                <w:b/>
                <w:bCs/>
                <w:sz w:val="20"/>
              </w:rPr>
              <w:t>Total Program Changes</w:t>
            </w:r>
          </w:p>
        </w:tc>
        <w:tc>
          <w:tcPr>
            <w:tcW w:w="0" w:type="auto"/>
            <w:tcBorders>
              <w:top w:val="single" w:sz="4" w:space="0" w:color="auto"/>
              <w:bottom w:val="single" w:sz="4" w:space="0" w:color="auto"/>
            </w:tcBorders>
            <w:vAlign w:val="center"/>
          </w:tcPr>
          <w:p w:rsidR="004637EE" w:rsidRPr="008E0BCD" w:rsidRDefault="004637EE" w:rsidP="004637EE">
            <w:pPr>
              <w:pStyle w:val="BodyText"/>
              <w:jc w:val="center"/>
              <w:rPr>
                <w:b/>
                <w:bCs/>
                <w:sz w:val="20"/>
              </w:rPr>
            </w:pPr>
          </w:p>
        </w:tc>
        <w:tc>
          <w:tcPr>
            <w:tcW w:w="0" w:type="auto"/>
            <w:tcBorders>
              <w:top w:val="single" w:sz="4" w:space="0" w:color="auto"/>
              <w:bottom w:val="single" w:sz="4" w:space="0" w:color="auto"/>
            </w:tcBorders>
            <w:vAlign w:val="center"/>
          </w:tcPr>
          <w:p w:rsidR="004637EE" w:rsidRPr="00ED4407" w:rsidRDefault="00E43118" w:rsidP="004637EE">
            <w:pPr>
              <w:pStyle w:val="BodyText"/>
              <w:jc w:val="center"/>
              <w:rPr>
                <w:b/>
                <w:bCs/>
                <w:sz w:val="20"/>
              </w:rPr>
            </w:pPr>
            <w:r w:rsidRPr="00ED4407">
              <w:rPr>
                <w:b/>
                <w:bCs/>
                <w:sz w:val="20"/>
              </w:rPr>
              <w:t>0</w:t>
            </w:r>
          </w:p>
        </w:tc>
        <w:tc>
          <w:tcPr>
            <w:tcW w:w="0" w:type="auto"/>
            <w:tcBorders>
              <w:top w:val="single" w:sz="4" w:space="0" w:color="auto"/>
              <w:bottom w:val="single" w:sz="4" w:space="0" w:color="auto"/>
            </w:tcBorders>
            <w:vAlign w:val="center"/>
          </w:tcPr>
          <w:p w:rsidR="004637EE" w:rsidRPr="00ED4407" w:rsidRDefault="004637EE" w:rsidP="004637EE">
            <w:pPr>
              <w:pStyle w:val="BodyText"/>
              <w:jc w:val="center"/>
              <w:rPr>
                <w:b/>
                <w:bCs/>
                <w:sz w:val="20"/>
              </w:rPr>
            </w:pPr>
            <w:r w:rsidRPr="00ED4407">
              <w:rPr>
                <w:b/>
                <w:bCs/>
                <w:sz w:val="20"/>
              </w:rPr>
              <w:t>0</w:t>
            </w:r>
          </w:p>
        </w:tc>
        <w:tc>
          <w:tcPr>
            <w:tcW w:w="0" w:type="auto"/>
            <w:tcBorders>
              <w:top w:val="single" w:sz="4" w:space="0" w:color="auto"/>
              <w:bottom w:val="single" w:sz="4" w:space="0" w:color="auto"/>
            </w:tcBorders>
            <w:vAlign w:val="center"/>
          </w:tcPr>
          <w:p w:rsidR="004637EE" w:rsidRPr="00ED4407" w:rsidRDefault="00E43118" w:rsidP="00ED4407">
            <w:pPr>
              <w:pStyle w:val="BodyText"/>
              <w:jc w:val="right"/>
              <w:rPr>
                <w:b/>
                <w:bCs/>
                <w:sz w:val="20"/>
              </w:rPr>
            </w:pPr>
            <w:r w:rsidRPr="00ED4407">
              <w:rPr>
                <w:b/>
                <w:bCs/>
                <w:sz w:val="20"/>
              </w:rPr>
              <w:t>(</w:t>
            </w:r>
            <w:r w:rsidR="004637EE" w:rsidRPr="00ED4407">
              <w:rPr>
                <w:b/>
                <w:bCs/>
                <w:sz w:val="20"/>
              </w:rPr>
              <w:t>$</w:t>
            </w:r>
            <w:r w:rsidRPr="00ED4407">
              <w:rPr>
                <w:b/>
                <w:bCs/>
                <w:sz w:val="20"/>
              </w:rPr>
              <w:t>35</w:t>
            </w:r>
            <w:r w:rsidR="004637EE" w:rsidRPr="00ED4407">
              <w:rPr>
                <w:b/>
                <w:bCs/>
                <w:sz w:val="20"/>
              </w:rPr>
              <w:t>,</w:t>
            </w:r>
            <w:r w:rsidRPr="00ED4407">
              <w:rPr>
                <w:b/>
                <w:bCs/>
                <w:sz w:val="20"/>
              </w:rPr>
              <w:t>000)</w:t>
            </w:r>
          </w:p>
        </w:tc>
        <w:tc>
          <w:tcPr>
            <w:tcW w:w="0" w:type="auto"/>
            <w:tcBorders>
              <w:top w:val="single" w:sz="4" w:space="0" w:color="auto"/>
              <w:bottom w:val="single" w:sz="4" w:space="0" w:color="auto"/>
            </w:tcBorders>
            <w:vAlign w:val="center"/>
          </w:tcPr>
          <w:p w:rsidR="004637EE" w:rsidRPr="00ED4407" w:rsidRDefault="004637EE" w:rsidP="004637EE">
            <w:pPr>
              <w:pStyle w:val="BodyText"/>
              <w:jc w:val="center"/>
              <w:rPr>
                <w:b/>
                <w:bCs/>
                <w:sz w:val="20"/>
              </w:rPr>
            </w:pPr>
          </w:p>
        </w:tc>
      </w:tr>
    </w:tbl>
    <w:p w:rsidR="004637EE" w:rsidRDefault="004637EE" w:rsidP="004637EE">
      <w:pPr>
        <w:sectPr w:rsidR="004637EE" w:rsidSect="008D2675">
          <w:pgSz w:w="12240" w:h="15840"/>
          <w:pgMar w:top="1440" w:right="1800" w:bottom="540" w:left="1800" w:header="720" w:footer="720" w:gutter="0"/>
          <w:pgNumType w:start="1"/>
          <w:cols w:space="720"/>
          <w:titlePg/>
          <w:docGrid w:linePitch="360"/>
        </w:sectPr>
      </w:pPr>
    </w:p>
    <w:p w:rsidR="00CA178A" w:rsidRDefault="00CA178A" w:rsidP="00CA178A">
      <w:pPr>
        <w:rPr>
          <w:b/>
        </w:rPr>
      </w:pPr>
      <w:r>
        <w:rPr>
          <w:sz w:val="18"/>
          <w:szCs w:val="18"/>
        </w:rPr>
        <w:lastRenderedPageBreak/>
        <w:t xml:space="preserve">  </w:t>
      </w:r>
      <w:r>
        <w:rPr>
          <w:b/>
        </w:rPr>
        <w:t>I</w:t>
      </w:r>
      <w:r w:rsidR="004637EE">
        <w:rPr>
          <w:b/>
        </w:rPr>
        <w:t>II</w:t>
      </w:r>
      <w:r>
        <w:rPr>
          <w:b/>
        </w:rPr>
        <w:t>: Appropriations Language and Analysis of Appropriations Language</w:t>
      </w:r>
    </w:p>
    <w:p w:rsidR="00CA178A" w:rsidRDefault="00CA178A" w:rsidP="00CA178A">
      <w:pPr>
        <w:rPr>
          <w:sz w:val="18"/>
          <w:szCs w:val="18"/>
        </w:rPr>
      </w:pPr>
      <w:r>
        <w:rPr>
          <w:sz w:val="18"/>
          <w:szCs w:val="18"/>
        </w:rPr>
        <w:tab/>
        <w:t xml:space="preserve">        </w:t>
      </w:r>
    </w:p>
    <w:p w:rsidR="00CA178A" w:rsidRDefault="00CA178A" w:rsidP="00CA178A">
      <w:pPr>
        <w:ind w:left="8640" w:hanging="5040"/>
        <w:rPr>
          <w:b/>
          <w:sz w:val="18"/>
          <w:szCs w:val="18"/>
        </w:rPr>
      </w:pPr>
      <w:r>
        <w:rPr>
          <w:sz w:val="18"/>
          <w:szCs w:val="18"/>
        </w:rPr>
        <w:t xml:space="preserve">                                                              </w:t>
      </w:r>
      <w:r>
        <w:rPr>
          <w:sz w:val="18"/>
          <w:szCs w:val="18"/>
        </w:rPr>
        <w:tab/>
      </w:r>
      <w:r>
        <w:rPr>
          <w:sz w:val="18"/>
          <w:szCs w:val="18"/>
        </w:rPr>
        <w:tab/>
        <w:t xml:space="preserve">      </w:t>
      </w:r>
      <w:r>
        <w:rPr>
          <w:b/>
          <w:sz w:val="18"/>
          <w:szCs w:val="18"/>
        </w:rPr>
        <w:t xml:space="preserve">                                                                                          </w:t>
      </w:r>
      <w:r>
        <w:rPr>
          <w:b/>
          <w:sz w:val="18"/>
          <w:szCs w:val="18"/>
        </w:rPr>
        <w:tab/>
        <w:t xml:space="preserve">         </w:t>
      </w:r>
    </w:p>
    <w:p w:rsidR="00CA178A" w:rsidRDefault="00CA178A" w:rsidP="00CA178A">
      <w:pPr>
        <w:rPr>
          <w:b/>
        </w:rPr>
      </w:pPr>
      <w:r>
        <w:rPr>
          <w:b/>
        </w:rPr>
        <w:t>Appropriations Language</w:t>
      </w:r>
    </w:p>
    <w:p w:rsidR="00CA178A" w:rsidRDefault="00CA178A" w:rsidP="00CA178A"/>
    <w:p w:rsidR="00CA178A" w:rsidRDefault="00CA178A" w:rsidP="00CA178A">
      <w:pPr>
        <w:jc w:val="center"/>
        <w:rPr>
          <w:b/>
        </w:rPr>
      </w:pPr>
      <w:r>
        <w:t xml:space="preserve">        </w:t>
      </w:r>
      <w:r>
        <w:rPr>
          <w:b/>
        </w:rPr>
        <w:t>Buildings and Facilities</w:t>
      </w:r>
    </w:p>
    <w:p w:rsidR="00CA178A" w:rsidRDefault="00CA178A" w:rsidP="00CA178A"/>
    <w:p w:rsidR="00CA178A" w:rsidRPr="00ED4407" w:rsidRDefault="00CA178A" w:rsidP="00CA178A">
      <w:pPr>
        <w:rPr>
          <w:i/>
          <w:sz w:val="18"/>
          <w:szCs w:val="18"/>
        </w:rPr>
      </w:pPr>
      <w:r w:rsidRPr="00ED4407">
        <w:rPr>
          <w:i/>
        </w:rPr>
        <w:t>For planning, acquisition of sites and construction of new facilities; purchase and acquisition of facilities and remodeling, and equipping of such facilities for penal and correctional use, including all necessary expenses incident thereto, by contract or force account; and constructing, remodeling, and equipping necessary buildings and facilities at existing penal and correctional institutions, including all necessary expenses incident thereto, by contract or force account,  $</w:t>
      </w:r>
      <w:r w:rsidR="007D1300" w:rsidRPr="00ED4407">
        <w:rPr>
          <w:i/>
        </w:rPr>
        <w:t>99</w:t>
      </w:r>
      <w:r w:rsidRPr="00ED4407">
        <w:rPr>
          <w:i/>
        </w:rPr>
        <w:t>,</w:t>
      </w:r>
      <w:r w:rsidR="007D1300" w:rsidRPr="00ED4407">
        <w:rPr>
          <w:i/>
        </w:rPr>
        <w:t>394</w:t>
      </w:r>
      <w:r w:rsidRPr="00ED4407">
        <w:rPr>
          <w:i/>
        </w:rPr>
        <w:t>,000, to remain available until expended, of which not less than $7</w:t>
      </w:r>
      <w:r w:rsidR="007D1300" w:rsidRPr="00ED4407">
        <w:rPr>
          <w:i/>
        </w:rPr>
        <w:t>3</w:t>
      </w:r>
      <w:r w:rsidRPr="00ED4407">
        <w:rPr>
          <w:i/>
        </w:rPr>
        <w:t>,</w:t>
      </w:r>
      <w:r w:rsidR="007D1300" w:rsidRPr="00ED4407">
        <w:rPr>
          <w:i/>
        </w:rPr>
        <w:t>955</w:t>
      </w:r>
      <w:r w:rsidRPr="00ED4407">
        <w:rPr>
          <w:i/>
        </w:rPr>
        <w:t xml:space="preserve">,000  shall be available only for modernization, maintenance and repair, and of which not to exceed $14,000,000 shall be available to construct areas for inmate work programs: Provided, That labor of United States prisoners may be used for work performed under this appropriation. </w:t>
      </w:r>
    </w:p>
    <w:p w:rsidR="00CA178A" w:rsidRDefault="00CA178A" w:rsidP="00CA178A"/>
    <w:p w:rsidR="002E4C37" w:rsidRPr="00DB5628" w:rsidRDefault="003A30F0" w:rsidP="002E4C37">
      <w:pPr>
        <w:jc w:val="center"/>
        <w:rPr>
          <w:i/>
        </w:rPr>
      </w:pPr>
      <w:r w:rsidRPr="00DB5628">
        <w:rPr>
          <w:b/>
          <w:i/>
        </w:rPr>
        <w:t>(</w:t>
      </w:r>
      <w:r w:rsidR="002E4C37" w:rsidRPr="00DB5628">
        <w:rPr>
          <w:b/>
          <w:i/>
          <w:u w:val="single"/>
        </w:rPr>
        <w:t>C</w:t>
      </w:r>
      <w:r w:rsidRPr="00DB5628">
        <w:rPr>
          <w:b/>
          <w:i/>
          <w:u w:val="single"/>
        </w:rPr>
        <w:t>ANCELLATION</w:t>
      </w:r>
      <w:r w:rsidRPr="00DB5628">
        <w:rPr>
          <w:b/>
          <w:i/>
        </w:rPr>
        <w:t>)</w:t>
      </w:r>
    </w:p>
    <w:p w:rsidR="00CA178A" w:rsidRPr="00ED4407" w:rsidRDefault="000C25AB" w:rsidP="00CA178A">
      <w:pPr>
        <w:rPr>
          <w:i/>
        </w:rPr>
      </w:pPr>
      <w:r w:rsidRPr="00ED4407">
        <w:rPr>
          <w:i/>
        </w:rPr>
        <w:t>Of the unobligated balances from prior year appropriations available under this heading</w:t>
      </w:r>
      <w:r w:rsidR="002E4C37" w:rsidRPr="00ED4407">
        <w:rPr>
          <w:i/>
        </w:rPr>
        <w:t>,</w:t>
      </w:r>
      <w:r w:rsidRPr="00ED4407">
        <w:rPr>
          <w:i/>
        </w:rPr>
        <w:t xml:space="preserve"> $35,000,000 are hereby permanently cancelled:  Provide</w:t>
      </w:r>
      <w:r w:rsidR="002E4C37" w:rsidRPr="00ED4407">
        <w:rPr>
          <w:i/>
        </w:rPr>
        <w:t>d</w:t>
      </w:r>
      <w:r w:rsidRPr="00ED4407">
        <w:rPr>
          <w:i/>
        </w:rPr>
        <w:t>, That no amounts may be cancelled from amounts that were designated by the Congress as an emergency requirement pursuant to the Concurrent Resolution on the Budget or the Balanced Budget and Emergency Deficit Control Act of 1985, as amended.</w:t>
      </w:r>
    </w:p>
    <w:p w:rsidR="00832420" w:rsidRPr="00ED4407" w:rsidRDefault="00832420" w:rsidP="00CA178A">
      <w:pPr>
        <w:rPr>
          <w:i/>
        </w:rPr>
      </w:pPr>
    </w:p>
    <w:p w:rsidR="00DB5628" w:rsidRPr="00E92FC9" w:rsidRDefault="00DB5628" w:rsidP="00CA178A">
      <w:r w:rsidRPr="00ED4407">
        <w:t>Note.—</w:t>
      </w:r>
      <w:proofErr w:type="gramStart"/>
      <w:r w:rsidRPr="00ED4407">
        <w:t>A</w:t>
      </w:r>
      <w:proofErr w:type="gramEnd"/>
      <w:r w:rsidRPr="00ED4407">
        <w:t xml:space="preserve"> full-year 2011 appropriation for this account was not enacted at the time the budget was prepared; therefore, this </w:t>
      </w:r>
      <w:r w:rsidR="00704D38" w:rsidRPr="00ED4407">
        <w:t>account is</w:t>
      </w:r>
      <w:r w:rsidRPr="00ED4407">
        <w:t xml:space="preserve"> operating under a continuing resolution (P.L. 111-242, as amended).  The amounts included for 2011 reflect the annualized level provided by the continuing resolution.</w:t>
      </w:r>
    </w:p>
    <w:p w:rsidR="00DB5628" w:rsidRDefault="00DB5628" w:rsidP="00CA178A"/>
    <w:p w:rsidR="00832420" w:rsidRDefault="00832420" w:rsidP="00CA178A">
      <w:pPr>
        <w:sectPr w:rsidR="00832420" w:rsidSect="00832420">
          <w:pgSz w:w="15840" w:h="12240" w:orient="landscape"/>
          <w:pgMar w:top="1800" w:right="1440" w:bottom="1800" w:left="1008" w:header="720" w:footer="720" w:gutter="0"/>
          <w:cols w:space="720"/>
          <w:docGrid w:linePitch="360"/>
        </w:sectPr>
      </w:pPr>
    </w:p>
    <w:p w:rsidR="00832420" w:rsidRDefault="003A30F0" w:rsidP="00CA178A">
      <w:pPr>
        <w:rPr>
          <w:b/>
        </w:rPr>
      </w:pPr>
      <w:r w:rsidRPr="002E4C37">
        <w:rPr>
          <w:b/>
        </w:rPr>
        <w:lastRenderedPageBreak/>
        <w:t>Analysis of Appropriations Language</w:t>
      </w:r>
    </w:p>
    <w:p w:rsidR="00DB5628" w:rsidRDefault="00DB5628" w:rsidP="00DB5628"/>
    <w:p w:rsidR="00DB5628" w:rsidRPr="00ED4407" w:rsidRDefault="00ED4407" w:rsidP="00E92FC9">
      <w:r>
        <w:t>A cancellation of $35 million in prior years’ unobligated New Construction balances</w:t>
      </w:r>
      <w:r w:rsidR="009C4029">
        <w:t xml:space="preserve"> is proposed</w:t>
      </w:r>
      <w:r>
        <w:t>.</w:t>
      </w:r>
    </w:p>
    <w:p w:rsidR="003824C6" w:rsidRPr="00E92FC9" w:rsidRDefault="003824C6" w:rsidP="00DB5628"/>
    <w:p w:rsidR="00DB5628" w:rsidRPr="00EF2126" w:rsidRDefault="00DB5628" w:rsidP="00DB5628">
      <w:r w:rsidRPr="00EF2126">
        <w:t>Note:  The FY 2012 President’</w:t>
      </w:r>
      <w:r w:rsidR="003824C6" w:rsidRPr="00EF2126">
        <w:t>s Budget uses the F</w:t>
      </w:r>
      <w:r w:rsidRPr="00EF2126">
        <w:t xml:space="preserve">Y 2011 President’s Budget language as a base so all language </w:t>
      </w:r>
      <w:r w:rsidR="003824C6" w:rsidRPr="00EF2126">
        <w:t>is presented as new.</w:t>
      </w:r>
    </w:p>
    <w:p w:rsidR="00E92FC9" w:rsidRDefault="00E92FC9" w:rsidP="00DB5628"/>
    <w:p w:rsidR="00E92FC9" w:rsidRDefault="00E92FC9"/>
    <w:p w:rsidR="003824C6" w:rsidRPr="00DB5628" w:rsidRDefault="003824C6" w:rsidP="00DB5628">
      <w:pPr>
        <w:sectPr w:rsidR="003824C6" w:rsidRPr="00DB5628" w:rsidSect="00832420">
          <w:type w:val="continuous"/>
          <w:pgSz w:w="15840" w:h="12240" w:orient="landscape"/>
          <w:pgMar w:top="1800" w:right="1440" w:bottom="1800" w:left="1008" w:header="720" w:footer="720" w:gutter="0"/>
          <w:cols w:space="720"/>
          <w:docGrid w:linePitch="360"/>
        </w:sectPr>
      </w:pPr>
    </w:p>
    <w:p w:rsidR="006B7100" w:rsidRDefault="005E4EBB" w:rsidP="001530EB">
      <w:pPr>
        <w:rPr>
          <w:b/>
        </w:rPr>
      </w:pPr>
      <w:r>
        <w:rPr>
          <w:b/>
        </w:rPr>
        <w:lastRenderedPageBreak/>
        <w:t xml:space="preserve"> </w:t>
      </w:r>
    </w:p>
    <w:p w:rsidR="006B7100" w:rsidRDefault="006B7100" w:rsidP="006B7100">
      <w:pPr>
        <w:jc w:val="center"/>
        <w:rPr>
          <w:b/>
        </w:rPr>
      </w:pPr>
    </w:p>
    <w:p w:rsidR="006B7100" w:rsidRPr="004D3D2F" w:rsidRDefault="004637EE" w:rsidP="00242500">
      <w:pPr>
        <w:rPr>
          <w:b/>
        </w:rPr>
      </w:pPr>
      <w:r>
        <w:rPr>
          <w:b/>
        </w:rPr>
        <w:t>I</w:t>
      </w:r>
      <w:r w:rsidR="00242500" w:rsidRPr="004D3D2F">
        <w:rPr>
          <w:b/>
        </w:rPr>
        <w:t>V. Decision Unit Justification</w:t>
      </w:r>
    </w:p>
    <w:p w:rsidR="00242500" w:rsidRPr="004D3D2F" w:rsidRDefault="00242500" w:rsidP="00242500">
      <w:pPr>
        <w:rPr>
          <w:b/>
        </w:rPr>
      </w:pPr>
    </w:p>
    <w:p w:rsidR="00242500" w:rsidRPr="004D3D2F" w:rsidRDefault="00242500" w:rsidP="00242500">
      <w:pPr>
        <w:rPr>
          <w:b/>
        </w:rPr>
      </w:pPr>
      <w:r w:rsidRPr="004D3D2F">
        <w:rPr>
          <w:b/>
        </w:rPr>
        <w:t>A. New Construction</w:t>
      </w:r>
    </w:p>
    <w:p w:rsidR="00242500" w:rsidRPr="00242500" w:rsidRDefault="00242500" w:rsidP="00242500">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9"/>
        <w:gridCol w:w="1281"/>
        <w:gridCol w:w="1338"/>
        <w:gridCol w:w="1958"/>
      </w:tblGrid>
      <w:tr w:rsidR="00242500">
        <w:tc>
          <w:tcPr>
            <w:tcW w:w="4279" w:type="dxa"/>
          </w:tcPr>
          <w:p w:rsidR="00242500" w:rsidRDefault="00242500" w:rsidP="007E2883">
            <w:pPr>
              <w:pStyle w:val="Title"/>
              <w:ind w:left="0"/>
              <w:jc w:val="left"/>
              <w:rPr>
                <w:iCs/>
              </w:rPr>
            </w:pPr>
            <w:r>
              <w:rPr>
                <w:i w:val="0"/>
              </w:rPr>
              <w:t>New Construction TOTAL</w:t>
            </w:r>
          </w:p>
        </w:tc>
        <w:tc>
          <w:tcPr>
            <w:tcW w:w="1281" w:type="dxa"/>
          </w:tcPr>
          <w:p w:rsidR="00242500" w:rsidRDefault="00242500" w:rsidP="007E2883">
            <w:pPr>
              <w:pStyle w:val="Title"/>
              <w:ind w:left="0"/>
              <w:rPr>
                <w:i w:val="0"/>
              </w:rPr>
            </w:pPr>
            <w:r>
              <w:rPr>
                <w:i w:val="0"/>
              </w:rPr>
              <w:t xml:space="preserve">Perm. </w:t>
            </w:r>
            <w:proofErr w:type="gramStart"/>
            <w:r>
              <w:rPr>
                <w:i w:val="0"/>
              </w:rPr>
              <w:t>Pos.</w:t>
            </w:r>
            <w:proofErr w:type="gramEnd"/>
          </w:p>
        </w:tc>
        <w:tc>
          <w:tcPr>
            <w:tcW w:w="1338" w:type="dxa"/>
          </w:tcPr>
          <w:p w:rsidR="00242500" w:rsidRDefault="00242500" w:rsidP="007E2883">
            <w:pPr>
              <w:pStyle w:val="Title"/>
              <w:ind w:left="0"/>
              <w:rPr>
                <w:i w:val="0"/>
              </w:rPr>
            </w:pPr>
            <w:r>
              <w:rPr>
                <w:i w:val="0"/>
              </w:rPr>
              <w:t>FTE</w:t>
            </w:r>
          </w:p>
        </w:tc>
        <w:tc>
          <w:tcPr>
            <w:tcW w:w="1958" w:type="dxa"/>
          </w:tcPr>
          <w:p w:rsidR="00242500" w:rsidRDefault="00242500" w:rsidP="00361D2B">
            <w:pPr>
              <w:pStyle w:val="Title"/>
              <w:ind w:left="0"/>
              <w:jc w:val="right"/>
              <w:rPr>
                <w:i w:val="0"/>
              </w:rPr>
            </w:pPr>
            <w:r>
              <w:rPr>
                <w:i w:val="0"/>
              </w:rPr>
              <w:t>Amount</w:t>
            </w:r>
          </w:p>
        </w:tc>
      </w:tr>
      <w:tr w:rsidR="00242500">
        <w:tc>
          <w:tcPr>
            <w:tcW w:w="4279" w:type="dxa"/>
          </w:tcPr>
          <w:p w:rsidR="00242500" w:rsidRDefault="00242500" w:rsidP="00B77788">
            <w:pPr>
              <w:pStyle w:val="Title"/>
              <w:ind w:left="0"/>
              <w:jc w:val="left"/>
              <w:rPr>
                <w:b w:val="0"/>
                <w:bCs/>
                <w:i w:val="0"/>
              </w:rPr>
            </w:pPr>
            <w:r>
              <w:rPr>
                <w:b w:val="0"/>
                <w:bCs/>
                <w:i w:val="0"/>
              </w:rPr>
              <w:t>20</w:t>
            </w:r>
            <w:r w:rsidR="00B77788">
              <w:rPr>
                <w:b w:val="0"/>
                <w:bCs/>
                <w:i w:val="0"/>
              </w:rPr>
              <w:t>10</w:t>
            </w:r>
            <w:r>
              <w:rPr>
                <w:b w:val="0"/>
                <w:bCs/>
                <w:i w:val="0"/>
              </w:rPr>
              <w:t xml:space="preserve"> Enacted with Rescissions</w:t>
            </w:r>
          </w:p>
        </w:tc>
        <w:tc>
          <w:tcPr>
            <w:tcW w:w="1281" w:type="dxa"/>
            <w:vAlign w:val="center"/>
          </w:tcPr>
          <w:p w:rsidR="00242500" w:rsidRDefault="00C01FB7" w:rsidP="00B77788">
            <w:pPr>
              <w:pStyle w:val="Title"/>
              <w:ind w:left="0"/>
              <w:rPr>
                <w:b w:val="0"/>
                <w:bCs/>
                <w:i w:val="0"/>
              </w:rPr>
            </w:pPr>
            <w:r>
              <w:rPr>
                <w:b w:val="0"/>
                <w:bCs/>
                <w:i w:val="0"/>
              </w:rPr>
              <w:t>1</w:t>
            </w:r>
            <w:r w:rsidR="00B77788">
              <w:rPr>
                <w:b w:val="0"/>
                <w:bCs/>
                <w:i w:val="0"/>
              </w:rPr>
              <w:t>43</w:t>
            </w:r>
          </w:p>
        </w:tc>
        <w:tc>
          <w:tcPr>
            <w:tcW w:w="1338" w:type="dxa"/>
            <w:vAlign w:val="center"/>
          </w:tcPr>
          <w:p w:rsidR="00242500" w:rsidRDefault="00C01FB7" w:rsidP="00B77788">
            <w:pPr>
              <w:pStyle w:val="Title"/>
              <w:ind w:left="0"/>
              <w:rPr>
                <w:b w:val="0"/>
                <w:bCs/>
                <w:i w:val="0"/>
              </w:rPr>
            </w:pPr>
            <w:r>
              <w:rPr>
                <w:b w:val="0"/>
                <w:bCs/>
                <w:i w:val="0"/>
              </w:rPr>
              <w:t>1</w:t>
            </w:r>
            <w:r w:rsidR="00B77788">
              <w:rPr>
                <w:b w:val="0"/>
                <w:bCs/>
                <w:i w:val="0"/>
              </w:rPr>
              <w:t>25</w:t>
            </w:r>
          </w:p>
        </w:tc>
        <w:tc>
          <w:tcPr>
            <w:tcW w:w="1958" w:type="dxa"/>
            <w:vAlign w:val="center"/>
          </w:tcPr>
          <w:p w:rsidR="00242500" w:rsidRDefault="00B77788" w:rsidP="00B77788">
            <w:pPr>
              <w:pStyle w:val="Title"/>
              <w:ind w:left="0"/>
              <w:jc w:val="right"/>
              <w:rPr>
                <w:b w:val="0"/>
                <w:bCs/>
                <w:i w:val="0"/>
              </w:rPr>
            </w:pPr>
            <w:r>
              <w:rPr>
                <w:b w:val="0"/>
                <w:bCs/>
                <w:i w:val="0"/>
              </w:rPr>
              <w:t>2</w:t>
            </w:r>
            <w:r w:rsidR="00C01FB7">
              <w:rPr>
                <w:b w:val="0"/>
                <w:bCs/>
                <w:i w:val="0"/>
              </w:rPr>
              <w:t>5,</w:t>
            </w:r>
            <w:r>
              <w:rPr>
                <w:b w:val="0"/>
                <w:bCs/>
                <w:i w:val="0"/>
              </w:rPr>
              <w:t>386</w:t>
            </w:r>
          </w:p>
        </w:tc>
      </w:tr>
      <w:tr w:rsidR="00242500">
        <w:tc>
          <w:tcPr>
            <w:tcW w:w="4279" w:type="dxa"/>
          </w:tcPr>
          <w:p w:rsidR="00242500" w:rsidRDefault="00B77788" w:rsidP="00B77788">
            <w:pPr>
              <w:pStyle w:val="Title"/>
              <w:ind w:left="0"/>
              <w:jc w:val="left"/>
              <w:rPr>
                <w:b w:val="0"/>
                <w:bCs/>
                <w:i w:val="0"/>
              </w:rPr>
            </w:pPr>
            <w:r>
              <w:rPr>
                <w:b w:val="0"/>
                <w:bCs/>
                <w:i w:val="0"/>
              </w:rPr>
              <w:t xml:space="preserve">  2010</w:t>
            </w:r>
            <w:r w:rsidR="00242500">
              <w:rPr>
                <w:b w:val="0"/>
                <w:bCs/>
                <w:i w:val="0"/>
              </w:rPr>
              <w:t xml:space="preserve"> Su</w:t>
            </w:r>
            <w:r w:rsidR="008F32F7">
              <w:rPr>
                <w:b w:val="0"/>
                <w:bCs/>
                <w:i w:val="0"/>
              </w:rPr>
              <w:t>pplemental</w:t>
            </w:r>
            <w:r w:rsidR="00242500">
              <w:rPr>
                <w:b w:val="0"/>
                <w:bCs/>
                <w:i w:val="0"/>
              </w:rPr>
              <w:t xml:space="preserve"> </w:t>
            </w:r>
          </w:p>
        </w:tc>
        <w:tc>
          <w:tcPr>
            <w:tcW w:w="1281" w:type="dxa"/>
            <w:vAlign w:val="center"/>
          </w:tcPr>
          <w:p w:rsidR="00242500" w:rsidRDefault="00C01FB7" w:rsidP="007E2883">
            <w:pPr>
              <w:pStyle w:val="Title"/>
              <w:ind w:left="0"/>
              <w:rPr>
                <w:b w:val="0"/>
                <w:bCs/>
                <w:i w:val="0"/>
              </w:rPr>
            </w:pPr>
            <w:r>
              <w:rPr>
                <w:b w:val="0"/>
                <w:bCs/>
                <w:i w:val="0"/>
              </w:rPr>
              <w:t>0</w:t>
            </w:r>
          </w:p>
        </w:tc>
        <w:tc>
          <w:tcPr>
            <w:tcW w:w="1338" w:type="dxa"/>
            <w:vAlign w:val="center"/>
          </w:tcPr>
          <w:p w:rsidR="00242500" w:rsidRDefault="00C01FB7" w:rsidP="007E2883">
            <w:pPr>
              <w:pStyle w:val="Title"/>
              <w:ind w:left="0"/>
              <w:rPr>
                <w:b w:val="0"/>
                <w:bCs/>
                <w:i w:val="0"/>
              </w:rPr>
            </w:pPr>
            <w:r>
              <w:rPr>
                <w:b w:val="0"/>
                <w:bCs/>
                <w:i w:val="0"/>
              </w:rPr>
              <w:t>0</w:t>
            </w:r>
          </w:p>
        </w:tc>
        <w:tc>
          <w:tcPr>
            <w:tcW w:w="1958" w:type="dxa"/>
            <w:vAlign w:val="center"/>
          </w:tcPr>
          <w:p w:rsidR="00242500" w:rsidRDefault="00C01FB7" w:rsidP="00361D2B">
            <w:pPr>
              <w:pStyle w:val="Title"/>
              <w:ind w:left="0"/>
              <w:jc w:val="right"/>
              <w:rPr>
                <w:b w:val="0"/>
                <w:bCs/>
                <w:i w:val="0"/>
              </w:rPr>
            </w:pPr>
            <w:r>
              <w:rPr>
                <w:b w:val="0"/>
                <w:bCs/>
                <w:i w:val="0"/>
              </w:rPr>
              <w:t>0</w:t>
            </w:r>
          </w:p>
        </w:tc>
      </w:tr>
      <w:tr w:rsidR="00242500">
        <w:tc>
          <w:tcPr>
            <w:tcW w:w="4279" w:type="dxa"/>
          </w:tcPr>
          <w:p w:rsidR="00242500" w:rsidRDefault="00242500" w:rsidP="00B77788">
            <w:pPr>
              <w:pStyle w:val="Title"/>
              <w:ind w:left="0"/>
              <w:jc w:val="left"/>
              <w:rPr>
                <w:b w:val="0"/>
                <w:bCs/>
                <w:i w:val="0"/>
              </w:rPr>
            </w:pPr>
            <w:proofErr w:type="gramStart"/>
            <w:r>
              <w:rPr>
                <w:b w:val="0"/>
                <w:bCs/>
                <w:i w:val="0"/>
              </w:rPr>
              <w:t>20</w:t>
            </w:r>
            <w:r w:rsidR="00B77788">
              <w:rPr>
                <w:b w:val="0"/>
                <w:bCs/>
                <w:i w:val="0"/>
              </w:rPr>
              <w:t>10</w:t>
            </w:r>
            <w:r>
              <w:rPr>
                <w:b w:val="0"/>
                <w:bCs/>
                <w:i w:val="0"/>
              </w:rPr>
              <w:t xml:space="preserve"> Enacted w/Rescissions &amp; Supps.</w:t>
            </w:r>
            <w:proofErr w:type="gramEnd"/>
          </w:p>
        </w:tc>
        <w:tc>
          <w:tcPr>
            <w:tcW w:w="1281" w:type="dxa"/>
            <w:vAlign w:val="center"/>
          </w:tcPr>
          <w:p w:rsidR="00242500" w:rsidRDefault="00C01FB7" w:rsidP="00B77788">
            <w:pPr>
              <w:pStyle w:val="Title"/>
              <w:ind w:left="0"/>
              <w:rPr>
                <w:b w:val="0"/>
                <w:bCs/>
                <w:i w:val="0"/>
              </w:rPr>
            </w:pPr>
            <w:r>
              <w:rPr>
                <w:b w:val="0"/>
                <w:bCs/>
                <w:i w:val="0"/>
              </w:rPr>
              <w:t>1</w:t>
            </w:r>
            <w:r w:rsidR="00B77788">
              <w:rPr>
                <w:b w:val="0"/>
                <w:bCs/>
                <w:i w:val="0"/>
              </w:rPr>
              <w:t>43</w:t>
            </w:r>
          </w:p>
        </w:tc>
        <w:tc>
          <w:tcPr>
            <w:tcW w:w="1338" w:type="dxa"/>
            <w:vAlign w:val="center"/>
          </w:tcPr>
          <w:p w:rsidR="00242500" w:rsidRDefault="00C01FB7" w:rsidP="00B77788">
            <w:pPr>
              <w:pStyle w:val="Title"/>
              <w:ind w:left="0"/>
              <w:rPr>
                <w:b w:val="0"/>
                <w:bCs/>
                <w:i w:val="0"/>
              </w:rPr>
            </w:pPr>
            <w:r>
              <w:rPr>
                <w:b w:val="0"/>
                <w:bCs/>
                <w:i w:val="0"/>
              </w:rPr>
              <w:t>1</w:t>
            </w:r>
            <w:r w:rsidR="00B77788">
              <w:rPr>
                <w:b w:val="0"/>
                <w:bCs/>
                <w:i w:val="0"/>
              </w:rPr>
              <w:t>25</w:t>
            </w:r>
          </w:p>
        </w:tc>
        <w:tc>
          <w:tcPr>
            <w:tcW w:w="1958" w:type="dxa"/>
            <w:vAlign w:val="center"/>
          </w:tcPr>
          <w:p w:rsidR="00242500" w:rsidRDefault="00C01FB7" w:rsidP="00B77788">
            <w:pPr>
              <w:pStyle w:val="Title"/>
              <w:ind w:left="0"/>
              <w:jc w:val="right"/>
              <w:rPr>
                <w:b w:val="0"/>
                <w:bCs/>
                <w:i w:val="0"/>
              </w:rPr>
            </w:pPr>
            <w:r>
              <w:rPr>
                <w:b w:val="0"/>
                <w:bCs/>
                <w:i w:val="0"/>
              </w:rPr>
              <w:t xml:space="preserve">   </w:t>
            </w:r>
            <w:r w:rsidR="00B77788">
              <w:rPr>
                <w:b w:val="0"/>
                <w:bCs/>
                <w:i w:val="0"/>
              </w:rPr>
              <w:t>2</w:t>
            </w:r>
            <w:r>
              <w:rPr>
                <w:b w:val="0"/>
                <w:bCs/>
                <w:i w:val="0"/>
              </w:rPr>
              <w:t>5,</w:t>
            </w:r>
            <w:r w:rsidR="00B77788">
              <w:rPr>
                <w:b w:val="0"/>
                <w:bCs/>
                <w:i w:val="0"/>
              </w:rPr>
              <w:t>386</w:t>
            </w:r>
          </w:p>
        </w:tc>
      </w:tr>
      <w:tr w:rsidR="00242500">
        <w:tc>
          <w:tcPr>
            <w:tcW w:w="4279" w:type="dxa"/>
          </w:tcPr>
          <w:p w:rsidR="00242500" w:rsidRDefault="00242500" w:rsidP="00F15A57">
            <w:pPr>
              <w:pStyle w:val="Title"/>
              <w:ind w:left="0"/>
              <w:jc w:val="left"/>
              <w:rPr>
                <w:b w:val="0"/>
                <w:bCs/>
                <w:i w:val="0"/>
              </w:rPr>
            </w:pPr>
            <w:r>
              <w:rPr>
                <w:b w:val="0"/>
                <w:bCs/>
                <w:i w:val="0"/>
              </w:rPr>
              <w:t>20</w:t>
            </w:r>
            <w:r w:rsidR="003038C9">
              <w:rPr>
                <w:b w:val="0"/>
                <w:bCs/>
                <w:i w:val="0"/>
              </w:rPr>
              <w:t>1</w:t>
            </w:r>
            <w:r w:rsidR="00B77788">
              <w:rPr>
                <w:b w:val="0"/>
                <w:bCs/>
                <w:i w:val="0"/>
              </w:rPr>
              <w:t>1</w:t>
            </w:r>
            <w:r>
              <w:rPr>
                <w:b w:val="0"/>
                <w:bCs/>
                <w:i w:val="0"/>
              </w:rPr>
              <w:t xml:space="preserve"> </w:t>
            </w:r>
            <w:r w:rsidR="00F15A57">
              <w:rPr>
                <w:b w:val="0"/>
                <w:bCs/>
                <w:i w:val="0"/>
              </w:rPr>
              <w:t>CR</w:t>
            </w:r>
          </w:p>
        </w:tc>
        <w:tc>
          <w:tcPr>
            <w:tcW w:w="1281" w:type="dxa"/>
            <w:vAlign w:val="center"/>
          </w:tcPr>
          <w:p w:rsidR="00242500" w:rsidRDefault="00C01FB7" w:rsidP="00F37ACF">
            <w:pPr>
              <w:pStyle w:val="Title"/>
              <w:ind w:left="0"/>
              <w:rPr>
                <w:b w:val="0"/>
                <w:bCs/>
                <w:i w:val="0"/>
              </w:rPr>
            </w:pPr>
            <w:r>
              <w:rPr>
                <w:b w:val="0"/>
                <w:bCs/>
                <w:i w:val="0"/>
              </w:rPr>
              <w:t>14</w:t>
            </w:r>
            <w:r w:rsidR="00F37ACF">
              <w:rPr>
                <w:b w:val="0"/>
                <w:bCs/>
                <w:i w:val="0"/>
              </w:rPr>
              <w:t>3</w:t>
            </w:r>
          </w:p>
        </w:tc>
        <w:tc>
          <w:tcPr>
            <w:tcW w:w="1338" w:type="dxa"/>
            <w:vAlign w:val="center"/>
          </w:tcPr>
          <w:p w:rsidR="00242500" w:rsidRDefault="00C01FB7" w:rsidP="00F37ACF">
            <w:pPr>
              <w:pStyle w:val="Title"/>
              <w:ind w:left="0"/>
              <w:rPr>
                <w:b w:val="0"/>
                <w:bCs/>
                <w:i w:val="0"/>
              </w:rPr>
            </w:pPr>
            <w:r>
              <w:rPr>
                <w:b w:val="0"/>
                <w:bCs/>
                <w:i w:val="0"/>
              </w:rPr>
              <w:t>12</w:t>
            </w:r>
            <w:r w:rsidR="00F37ACF">
              <w:rPr>
                <w:b w:val="0"/>
                <w:bCs/>
                <w:i w:val="0"/>
              </w:rPr>
              <w:t>5</w:t>
            </w:r>
          </w:p>
        </w:tc>
        <w:tc>
          <w:tcPr>
            <w:tcW w:w="1958" w:type="dxa"/>
            <w:vAlign w:val="center"/>
          </w:tcPr>
          <w:p w:rsidR="00242500" w:rsidRDefault="00C01FB7" w:rsidP="00F37ACF">
            <w:pPr>
              <w:pStyle w:val="Title"/>
              <w:ind w:left="0"/>
              <w:jc w:val="right"/>
              <w:rPr>
                <w:b w:val="0"/>
                <w:bCs/>
                <w:i w:val="0"/>
              </w:rPr>
            </w:pPr>
            <w:r>
              <w:rPr>
                <w:b w:val="0"/>
                <w:bCs/>
                <w:i w:val="0"/>
              </w:rPr>
              <w:t xml:space="preserve">   </w:t>
            </w:r>
            <w:r w:rsidR="00F37ACF">
              <w:rPr>
                <w:b w:val="0"/>
                <w:bCs/>
                <w:i w:val="0"/>
              </w:rPr>
              <w:t>25</w:t>
            </w:r>
            <w:r>
              <w:rPr>
                <w:b w:val="0"/>
                <w:bCs/>
                <w:i w:val="0"/>
              </w:rPr>
              <w:t xml:space="preserve">, </w:t>
            </w:r>
            <w:r w:rsidR="00F37ACF">
              <w:rPr>
                <w:b w:val="0"/>
                <w:bCs/>
                <w:i w:val="0"/>
              </w:rPr>
              <w:t>386</w:t>
            </w:r>
          </w:p>
        </w:tc>
      </w:tr>
      <w:tr w:rsidR="00242500">
        <w:tc>
          <w:tcPr>
            <w:tcW w:w="4279" w:type="dxa"/>
          </w:tcPr>
          <w:p w:rsidR="00242500" w:rsidRDefault="00242500" w:rsidP="007E2883">
            <w:pPr>
              <w:pStyle w:val="Title"/>
              <w:ind w:left="0"/>
              <w:jc w:val="left"/>
              <w:rPr>
                <w:b w:val="0"/>
                <w:bCs/>
                <w:i w:val="0"/>
              </w:rPr>
            </w:pPr>
            <w:proofErr w:type="gramStart"/>
            <w:r>
              <w:rPr>
                <w:b w:val="0"/>
                <w:bCs/>
                <w:i w:val="0"/>
              </w:rPr>
              <w:t>Adjustments to Base and Tech. Adj.</w:t>
            </w:r>
            <w:proofErr w:type="gramEnd"/>
          </w:p>
        </w:tc>
        <w:tc>
          <w:tcPr>
            <w:tcW w:w="1281" w:type="dxa"/>
            <w:vAlign w:val="center"/>
          </w:tcPr>
          <w:p w:rsidR="00242500" w:rsidRDefault="00C01FB7" w:rsidP="00F37ACF">
            <w:pPr>
              <w:pStyle w:val="Title"/>
              <w:ind w:left="0"/>
              <w:rPr>
                <w:b w:val="0"/>
                <w:bCs/>
                <w:i w:val="0"/>
              </w:rPr>
            </w:pPr>
            <w:r>
              <w:rPr>
                <w:b w:val="0"/>
                <w:bCs/>
                <w:i w:val="0"/>
              </w:rPr>
              <w:t>(</w:t>
            </w:r>
            <w:r w:rsidR="00F37ACF">
              <w:rPr>
                <w:b w:val="0"/>
                <w:bCs/>
                <w:i w:val="0"/>
              </w:rPr>
              <w:t>9</w:t>
            </w:r>
            <w:r>
              <w:rPr>
                <w:b w:val="0"/>
                <w:bCs/>
                <w:i w:val="0"/>
              </w:rPr>
              <w:t>)</w:t>
            </w:r>
          </w:p>
        </w:tc>
        <w:tc>
          <w:tcPr>
            <w:tcW w:w="1338" w:type="dxa"/>
            <w:vAlign w:val="center"/>
          </w:tcPr>
          <w:p w:rsidR="00242500" w:rsidRDefault="00C01FB7" w:rsidP="00F37ACF">
            <w:pPr>
              <w:pStyle w:val="Title"/>
              <w:ind w:left="0"/>
              <w:rPr>
                <w:b w:val="0"/>
                <w:bCs/>
                <w:i w:val="0"/>
              </w:rPr>
            </w:pPr>
            <w:r>
              <w:rPr>
                <w:b w:val="0"/>
                <w:bCs/>
                <w:i w:val="0"/>
              </w:rPr>
              <w:t>(</w:t>
            </w:r>
            <w:r w:rsidR="00F37ACF">
              <w:rPr>
                <w:b w:val="0"/>
                <w:bCs/>
                <w:i w:val="0"/>
              </w:rPr>
              <w:t>10</w:t>
            </w:r>
            <w:r>
              <w:rPr>
                <w:b w:val="0"/>
                <w:bCs/>
                <w:i w:val="0"/>
              </w:rPr>
              <w:t>)</w:t>
            </w:r>
          </w:p>
        </w:tc>
        <w:tc>
          <w:tcPr>
            <w:tcW w:w="1958" w:type="dxa"/>
            <w:vAlign w:val="center"/>
          </w:tcPr>
          <w:p w:rsidR="00242500" w:rsidRDefault="00F37ACF" w:rsidP="008F32F7">
            <w:pPr>
              <w:pStyle w:val="Title"/>
              <w:ind w:left="0"/>
              <w:jc w:val="right"/>
              <w:rPr>
                <w:b w:val="0"/>
                <w:bCs/>
                <w:i w:val="0"/>
              </w:rPr>
            </w:pPr>
            <w:r>
              <w:rPr>
                <w:b w:val="0"/>
                <w:bCs/>
                <w:i w:val="0"/>
              </w:rPr>
              <w:t>53</w:t>
            </w:r>
            <w:r w:rsidR="00A66F3E">
              <w:rPr>
                <w:b w:val="0"/>
                <w:bCs/>
                <w:i w:val="0"/>
              </w:rPr>
              <w:t xml:space="preserve">          </w:t>
            </w:r>
          </w:p>
        </w:tc>
      </w:tr>
      <w:tr w:rsidR="00242500">
        <w:tc>
          <w:tcPr>
            <w:tcW w:w="4279" w:type="dxa"/>
          </w:tcPr>
          <w:p w:rsidR="00242500" w:rsidRDefault="00242500" w:rsidP="00B77788">
            <w:pPr>
              <w:pStyle w:val="Title"/>
              <w:ind w:left="0"/>
              <w:jc w:val="left"/>
              <w:rPr>
                <w:b w:val="0"/>
                <w:bCs/>
                <w:i w:val="0"/>
              </w:rPr>
            </w:pPr>
            <w:r>
              <w:rPr>
                <w:b w:val="0"/>
                <w:bCs/>
                <w:i w:val="0"/>
              </w:rPr>
              <w:t>201</w:t>
            </w:r>
            <w:r w:rsidR="00B77788">
              <w:rPr>
                <w:b w:val="0"/>
                <w:bCs/>
                <w:i w:val="0"/>
              </w:rPr>
              <w:t>2</w:t>
            </w:r>
            <w:r>
              <w:rPr>
                <w:b w:val="0"/>
                <w:bCs/>
                <w:i w:val="0"/>
              </w:rPr>
              <w:t xml:space="preserve"> Current Services</w:t>
            </w:r>
          </w:p>
        </w:tc>
        <w:tc>
          <w:tcPr>
            <w:tcW w:w="1281" w:type="dxa"/>
            <w:vAlign w:val="center"/>
          </w:tcPr>
          <w:p w:rsidR="00242500" w:rsidRDefault="00B77788" w:rsidP="00B77788">
            <w:pPr>
              <w:pStyle w:val="Title"/>
              <w:ind w:left="0"/>
              <w:rPr>
                <w:b w:val="0"/>
                <w:bCs/>
                <w:i w:val="0"/>
              </w:rPr>
            </w:pPr>
            <w:r>
              <w:rPr>
                <w:b w:val="0"/>
                <w:bCs/>
                <w:i w:val="0"/>
              </w:rPr>
              <w:t>134</w:t>
            </w:r>
          </w:p>
        </w:tc>
        <w:tc>
          <w:tcPr>
            <w:tcW w:w="1338" w:type="dxa"/>
            <w:vAlign w:val="center"/>
          </w:tcPr>
          <w:p w:rsidR="00242500" w:rsidRDefault="00C01FB7" w:rsidP="00B77788">
            <w:pPr>
              <w:pStyle w:val="Title"/>
              <w:ind w:left="0"/>
              <w:rPr>
                <w:b w:val="0"/>
                <w:bCs/>
                <w:i w:val="0"/>
              </w:rPr>
            </w:pPr>
            <w:r>
              <w:rPr>
                <w:b w:val="0"/>
                <w:bCs/>
                <w:i w:val="0"/>
              </w:rPr>
              <w:t>1</w:t>
            </w:r>
            <w:r w:rsidR="00B77788">
              <w:rPr>
                <w:b w:val="0"/>
                <w:bCs/>
                <w:i w:val="0"/>
              </w:rPr>
              <w:t>15</w:t>
            </w:r>
          </w:p>
        </w:tc>
        <w:tc>
          <w:tcPr>
            <w:tcW w:w="1958" w:type="dxa"/>
            <w:vAlign w:val="center"/>
          </w:tcPr>
          <w:p w:rsidR="00242500" w:rsidRDefault="00A658A0" w:rsidP="00F37ACF">
            <w:pPr>
              <w:pStyle w:val="Title"/>
              <w:ind w:left="0"/>
              <w:jc w:val="right"/>
              <w:rPr>
                <w:b w:val="0"/>
                <w:bCs/>
                <w:i w:val="0"/>
              </w:rPr>
            </w:pPr>
            <w:r>
              <w:rPr>
                <w:b w:val="0"/>
                <w:bCs/>
                <w:i w:val="0"/>
              </w:rPr>
              <w:t>2</w:t>
            </w:r>
            <w:r w:rsidR="00A06539">
              <w:rPr>
                <w:b w:val="0"/>
                <w:bCs/>
                <w:i w:val="0"/>
              </w:rPr>
              <w:t>5</w:t>
            </w:r>
            <w:r>
              <w:rPr>
                <w:b w:val="0"/>
                <w:bCs/>
                <w:i w:val="0"/>
              </w:rPr>
              <w:t>,</w:t>
            </w:r>
            <w:r w:rsidR="00F37ACF">
              <w:rPr>
                <w:b w:val="0"/>
                <w:bCs/>
                <w:i w:val="0"/>
              </w:rPr>
              <w:t>439</w:t>
            </w:r>
            <w:r w:rsidR="00A66F3E">
              <w:rPr>
                <w:b w:val="0"/>
                <w:bCs/>
                <w:i w:val="0"/>
              </w:rPr>
              <w:t xml:space="preserve">    </w:t>
            </w:r>
          </w:p>
        </w:tc>
      </w:tr>
      <w:tr w:rsidR="00242500">
        <w:tc>
          <w:tcPr>
            <w:tcW w:w="4279" w:type="dxa"/>
          </w:tcPr>
          <w:p w:rsidR="00242500" w:rsidRDefault="00242500" w:rsidP="007E2883">
            <w:pPr>
              <w:pStyle w:val="Title"/>
              <w:ind w:left="0"/>
              <w:jc w:val="left"/>
              <w:rPr>
                <w:b w:val="0"/>
                <w:bCs/>
                <w:i w:val="0"/>
              </w:rPr>
            </w:pPr>
            <w:r>
              <w:rPr>
                <w:b w:val="0"/>
                <w:bCs/>
                <w:i w:val="0"/>
              </w:rPr>
              <w:t>201</w:t>
            </w:r>
            <w:r w:rsidR="00B77788">
              <w:rPr>
                <w:b w:val="0"/>
                <w:bCs/>
                <w:i w:val="0"/>
              </w:rPr>
              <w:t>2</w:t>
            </w:r>
            <w:r>
              <w:rPr>
                <w:b w:val="0"/>
                <w:bCs/>
                <w:i w:val="0"/>
              </w:rPr>
              <w:t xml:space="preserve"> Request</w:t>
            </w:r>
          </w:p>
        </w:tc>
        <w:tc>
          <w:tcPr>
            <w:tcW w:w="1281" w:type="dxa"/>
            <w:vAlign w:val="center"/>
          </w:tcPr>
          <w:p w:rsidR="00242500" w:rsidRDefault="00A658A0" w:rsidP="002D4946">
            <w:pPr>
              <w:pStyle w:val="Title"/>
              <w:ind w:left="0"/>
              <w:rPr>
                <w:b w:val="0"/>
                <w:bCs/>
                <w:i w:val="0"/>
              </w:rPr>
            </w:pPr>
            <w:r>
              <w:rPr>
                <w:b w:val="0"/>
                <w:bCs/>
                <w:i w:val="0"/>
              </w:rPr>
              <w:t>1</w:t>
            </w:r>
            <w:r w:rsidR="002D4946">
              <w:rPr>
                <w:b w:val="0"/>
                <w:bCs/>
                <w:i w:val="0"/>
              </w:rPr>
              <w:t>34</w:t>
            </w:r>
          </w:p>
        </w:tc>
        <w:tc>
          <w:tcPr>
            <w:tcW w:w="1338" w:type="dxa"/>
            <w:vAlign w:val="center"/>
          </w:tcPr>
          <w:p w:rsidR="00242500" w:rsidRDefault="00A658A0" w:rsidP="002D4946">
            <w:pPr>
              <w:pStyle w:val="Title"/>
              <w:ind w:left="0"/>
              <w:rPr>
                <w:b w:val="0"/>
                <w:bCs/>
                <w:i w:val="0"/>
              </w:rPr>
            </w:pPr>
            <w:r>
              <w:rPr>
                <w:b w:val="0"/>
                <w:bCs/>
                <w:i w:val="0"/>
              </w:rPr>
              <w:t>1</w:t>
            </w:r>
            <w:r w:rsidR="002D4946">
              <w:rPr>
                <w:b w:val="0"/>
                <w:bCs/>
                <w:i w:val="0"/>
              </w:rPr>
              <w:t>15</w:t>
            </w:r>
          </w:p>
        </w:tc>
        <w:tc>
          <w:tcPr>
            <w:tcW w:w="1958" w:type="dxa"/>
            <w:vAlign w:val="center"/>
          </w:tcPr>
          <w:p w:rsidR="00242500" w:rsidRDefault="002D4946" w:rsidP="00FC777E">
            <w:pPr>
              <w:pStyle w:val="Title"/>
              <w:ind w:left="0"/>
              <w:jc w:val="right"/>
              <w:rPr>
                <w:b w:val="0"/>
                <w:bCs/>
                <w:i w:val="0"/>
              </w:rPr>
            </w:pPr>
            <w:r>
              <w:rPr>
                <w:b w:val="0"/>
                <w:bCs/>
                <w:i w:val="0"/>
              </w:rPr>
              <w:t>25,</w:t>
            </w:r>
            <w:r w:rsidR="00FC777E">
              <w:rPr>
                <w:b w:val="0"/>
                <w:bCs/>
                <w:i w:val="0"/>
              </w:rPr>
              <w:t>4</w:t>
            </w:r>
            <w:r>
              <w:rPr>
                <w:b w:val="0"/>
                <w:bCs/>
                <w:i w:val="0"/>
              </w:rPr>
              <w:t>3</w:t>
            </w:r>
            <w:r w:rsidR="00FC777E">
              <w:rPr>
                <w:b w:val="0"/>
                <w:bCs/>
                <w:i w:val="0"/>
              </w:rPr>
              <w:t>9</w:t>
            </w:r>
            <w:r w:rsidR="00A66F3E">
              <w:rPr>
                <w:b w:val="0"/>
                <w:bCs/>
                <w:i w:val="0"/>
              </w:rPr>
              <w:t xml:space="preserve"> </w:t>
            </w:r>
            <w:r w:rsidR="003A7BFF">
              <w:rPr>
                <w:b w:val="0"/>
                <w:bCs/>
                <w:i w:val="0"/>
              </w:rPr>
              <w:t xml:space="preserve"> </w:t>
            </w:r>
          </w:p>
        </w:tc>
      </w:tr>
      <w:tr w:rsidR="00F15A57">
        <w:tc>
          <w:tcPr>
            <w:tcW w:w="4279" w:type="dxa"/>
          </w:tcPr>
          <w:p w:rsidR="00F15A57" w:rsidRDefault="00BC5F6B" w:rsidP="007E2883">
            <w:pPr>
              <w:pStyle w:val="Title"/>
              <w:ind w:left="0"/>
              <w:jc w:val="left"/>
              <w:rPr>
                <w:b w:val="0"/>
                <w:bCs/>
                <w:i w:val="0"/>
              </w:rPr>
            </w:pPr>
            <w:r>
              <w:rPr>
                <w:b w:val="0"/>
                <w:bCs/>
                <w:i w:val="0"/>
              </w:rPr>
              <w:t xml:space="preserve">2012 </w:t>
            </w:r>
            <w:r w:rsidR="00F15A57">
              <w:rPr>
                <w:b w:val="0"/>
                <w:bCs/>
                <w:i w:val="0"/>
              </w:rPr>
              <w:t>Proposed Rescission of Prior Years’ New Construction Funds</w:t>
            </w:r>
          </w:p>
        </w:tc>
        <w:tc>
          <w:tcPr>
            <w:tcW w:w="1281" w:type="dxa"/>
            <w:vAlign w:val="center"/>
          </w:tcPr>
          <w:p w:rsidR="00F15A57" w:rsidRDefault="00F15A57" w:rsidP="002D4946">
            <w:pPr>
              <w:pStyle w:val="Title"/>
              <w:ind w:left="0"/>
              <w:rPr>
                <w:b w:val="0"/>
                <w:bCs/>
                <w:i w:val="0"/>
              </w:rPr>
            </w:pPr>
            <w:r>
              <w:rPr>
                <w:b w:val="0"/>
                <w:bCs/>
                <w:i w:val="0"/>
              </w:rPr>
              <w:t>0</w:t>
            </w:r>
          </w:p>
        </w:tc>
        <w:tc>
          <w:tcPr>
            <w:tcW w:w="1338" w:type="dxa"/>
            <w:vAlign w:val="center"/>
          </w:tcPr>
          <w:p w:rsidR="00F15A57" w:rsidRDefault="00F15A57" w:rsidP="002D4946">
            <w:pPr>
              <w:pStyle w:val="Title"/>
              <w:ind w:left="0"/>
              <w:rPr>
                <w:b w:val="0"/>
                <w:bCs/>
                <w:i w:val="0"/>
              </w:rPr>
            </w:pPr>
            <w:r>
              <w:rPr>
                <w:b w:val="0"/>
                <w:bCs/>
                <w:i w:val="0"/>
              </w:rPr>
              <w:t>0</w:t>
            </w:r>
          </w:p>
        </w:tc>
        <w:tc>
          <w:tcPr>
            <w:tcW w:w="1958" w:type="dxa"/>
            <w:vAlign w:val="center"/>
          </w:tcPr>
          <w:p w:rsidR="00F15A57" w:rsidRDefault="00F15A57" w:rsidP="00A06539">
            <w:pPr>
              <w:pStyle w:val="Title"/>
              <w:ind w:left="0"/>
              <w:jc w:val="right"/>
              <w:rPr>
                <w:b w:val="0"/>
                <w:bCs/>
                <w:i w:val="0"/>
              </w:rPr>
            </w:pPr>
            <w:r>
              <w:rPr>
                <w:b w:val="0"/>
                <w:bCs/>
                <w:i w:val="0"/>
              </w:rPr>
              <w:t>[35,000]</w:t>
            </w:r>
          </w:p>
        </w:tc>
      </w:tr>
      <w:tr w:rsidR="00242500">
        <w:tc>
          <w:tcPr>
            <w:tcW w:w="4279" w:type="dxa"/>
            <w:shd w:val="clear" w:color="auto" w:fill="C0C0C0"/>
          </w:tcPr>
          <w:p w:rsidR="00242500" w:rsidRDefault="00242500" w:rsidP="007E2883">
            <w:pPr>
              <w:pStyle w:val="Title"/>
              <w:ind w:left="0"/>
              <w:jc w:val="left"/>
              <w:rPr>
                <w:b w:val="0"/>
                <w:bCs/>
                <w:i w:val="0"/>
              </w:rPr>
            </w:pPr>
            <w:r>
              <w:rPr>
                <w:i w:val="0"/>
              </w:rPr>
              <w:t>Total Change 20</w:t>
            </w:r>
            <w:r w:rsidR="003038C9">
              <w:rPr>
                <w:i w:val="0"/>
              </w:rPr>
              <w:t>1</w:t>
            </w:r>
            <w:r w:rsidR="00B77788">
              <w:rPr>
                <w:i w:val="0"/>
              </w:rPr>
              <w:t>1</w:t>
            </w:r>
            <w:r>
              <w:rPr>
                <w:i w:val="0"/>
              </w:rPr>
              <w:t>-201</w:t>
            </w:r>
            <w:r w:rsidR="00B77788">
              <w:rPr>
                <w:i w:val="0"/>
              </w:rPr>
              <w:t>2</w:t>
            </w:r>
            <w:r w:rsidR="003A7BFF">
              <w:rPr>
                <w:i w:val="0"/>
              </w:rPr>
              <w:t xml:space="preserve"> </w:t>
            </w:r>
          </w:p>
        </w:tc>
        <w:tc>
          <w:tcPr>
            <w:tcW w:w="1281" w:type="dxa"/>
            <w:shd w:val="clear" w:color="auto" w:fill="C0C0C0"/>
            <w:vAlign w:val="center"/>
          </w:tcPr>
          <w:p w:rsidR="00242500" w:rsidRDefault="003A7BFF" w:rsidP="00FC777E">
            <w:pPr>
              <w:pStyle w:val="Title"/>
              <w:ind w:left="0"/>
              <w:rPr>
                <w:i w:val="0"/>
              </w:rPr>
            </w:pPr>
            <w:r>
              <w:rPr>
                <w:i w:val="0"/>
              </w:rPr>
              <w:t xml:space="preserve">  </w:t>
            </w:r>
            <w:r w:rsidR="002D4946">
              <w:rPr>
                <w:i w:val="0"/>
              </w:rPr>
              <w:t>(</w:t>
            </w:r>
            <w:r w:rsidR="00FC777E">
              <w:rPr>
                <w:i w:val="0"/>
              </w:rPr>
              <w:t>9</w:t>
            </w:r>
            <w:r w:rsidR="002D4946">
              <w:rPr>
                <w:i w:val="0"/>
              </w:rPr>
              <w:t>)</w:t>
            </w:r>
            <w:r>
              <w:rPr>
                <w:i w:val="0"/>
              </w:rPr>
              <w:t xml:space="preserve"> </w:t>
            </w:r>
          </w:p>
        </w:tc>
        <w:tc>
          <w:tcPr>
            <w:tcW w:w="1338" w:type="dxa"/>
            <w:shd w:val="clear" w:color="auto" w:fill="C0C0C0"/>
            <w:vAlign w:val="center"/>
          </w:tcPr>
          <w:p w:rsidR="00242500" w:rsidRDefault="003A7BFF" w:rsidP="00FC777E">
            <w:pPr>
              <w:pStyle w:val="Title"/>
              <w:ind w:left="0"/>
              <w:rPr>
                <w:i w:val="0"/>
              </w:rPr>
            </w:pPr>
            <w:r>
              <w:rPr>
                <w:i w:val="0"/>
              </w:rPr>
              <w:t xml:space="preserve">   </w:t>
            </w:r>
            <w:r w:rsidR="002D4946">
              <w:rPr>
                <w:i w:val="0"/>
              </w:rPr>
              <w:t>(</w:t>
            </w:r>
            <w:r w:rsidR="00A658A0">
              <w:rPr>
                <w:i w:val="0"/>
              </w:rPr>
              <w:t>1</w:t>
            </w:r>
            <w:r w:rsidR="00FC777E">
              <w:rPr>
                <w:i w:val="0"/>
              </w:rPr>
              <w:t>0</w:t>
            </w:r>
            <w:r w:rsidR="002D4946">
              <w:rPr>
                <w:i w:val="0"/>
              </w:rPr>
              <w:t>)</w:t>
            </w:r>
          </w:p>
        </w:tc>
        <w:tc>
          <w:tcPr>
            <w:tcW w:w="1958" w:type="dxa"/>
            <w:shd w:val="clear" w:color="auto" w:fill="C0C0C0"/>
            <w:vAlign w:val="center"/>
          </w:tcPr>
          <w:p w:rsidR="00242500" w:rsidRDefault="00A66F3E" w:rsidP="00FC777E">
            <w:pPr>
              <w:pStyle w:val="Title"/>
              <w:ind w:left="0"/>
              <w:jc w:val="right"/>
              <w:rPr>
                <w:i w:val="0"/>
              </w:rPr>
            </w:pPr>
            <w:r>
              <w:rPr>
                <w:i w:val="0"/>
              </w:rPr>
              <w:t xml:space="preserve"> </w:t>
            </w:r>
            <w:r w:rsidR="00094E61">
              <w:rPr>
                <w:i w:val="0"/>
              </w:rPr>
              <w:t>$</w:t>
            </w:r>
            <w:r w:rsidR="00FC777E">
              <w:rPr>
                <w:i w:val="0"/>
              </w:rPr>
              <w:t>53</w:t>
            </w:r>
          </w:p>
        </w:tc>
      </w:tr>
    </w:tbl>
    <w:p w:rsidR="006B7100" w:rsidRDefault="006B7100" w:rsidP="006B7100"/>
    <w:p w:rsidR="006B7100" w:rsidRPr="00820523" w:rsidRDefault="00820523" w:rsidP="006B7100">
      <w:pPr>
        <w:rPr>
          <w:b/>
        </w:rPr>
      </w:pPr>
      <w:r w:rsidRPr="00820523">
        <w:rPr>
          <w:b/>
        </w:rPr>
        <w:t>No Information Technology for this program.</w:t>
      </w:r>
    </w:p>
    <w:p w:rsidR="00820523" w:rsidRDefault="00820523" w:rsidP="006B7100"/>
    <w:p w:rsidR="006B7100" w:rsidRDefault="00242500" w:rsidP="006B7100">
      <w:pPr>
        <w:rPr>
          <w:b/>
        </w:rPr>
      </w:pPr>
      <w:r>
        <w:rPr>
          <w:b/>
        </w:rPr>
        <w:t xml:space="preserve">1.  </w:t>
      </w:r>
      <w:r w:rsidR="006B7100">
        <w:rPr>
          <w:b/>
        </w:rPr>
        <w:t>Program Description</w:t>
      </w:r>
    </w:p>
    <w:p w:rsidR="00242500" w:rsidRDefault="00242500" w:rsidP="006B7100">
      <w:pPr>
        <w:rPr>
          <w:b/>
        </w:rPr>
      </w:pPr>
    </w:p>
    <w:p w:rsidR="001709FC" w:rsidRPr="004D3D2F" w:rsidRDefault="00FD4C9C">
      <w:pPr>
        <w:pStyle w:val="xl19"/>
        <w:spacing w:before="0" w:after="0"/>
        <w:rPr>
          <w:rFonts w:eastAsia="Times New Roman" w:cs="Arial"/>
          <w:b/>
          <w:szCs w:val="24"/>
          <w:u w:val="single"/>
        </w:rPr>
      </w:pPr>
      <w:r w:rsidRPr="004D3D2F">
        <w:rPr>
          <w:rFonts w:eastAsia="Times New Roman" w:cs="Arial"/>
          <w:b/>
          <w:szCs w:val="24"/>
          <w:u w:val="single"/>
        </w:rPr>
        <w:t>New Construction</w:t>
      </w:r>
    </w:p>
    <w:p w:rsidR="00FD4C9C" w:rsidRDefault="00FD4C9C">
      <w:pPr>
        <w:pStyle w:val="xl19"/>
        <w:spacing w:before="0" w:after="0"/>
        <w:rPr>
          <w:rFonts w:eastAsia="Times New Roman" w:cs="Arial"/>
          <w:b/>
          <w:szCs w:val="24"/>
          <w:u w:val="single"/>
        </w:rPr>
      </w:pPr>
    </w:p>
    <w:p w:rsidR="00FC777E" w:rsidRDefault="00FC777E">
      <w:pPr>
        <w:pStyle w:val="xl19"/>
        <w:spacing w:before="0" w:after="0"/>
        <w:rPr>
          <w:rFonts w:eastAsia="Times New Roman" w:cs="Arial"/>
          <w:b/>
          <w:szCs w:val="24"/>
        </w:rPr>
      </w:pPr>
      <w:r w:rsidRPr="00FC777E">
        <w:rPr>
          <w:rFonts w:eastAsia="Times New Roman" w:cs="Arial"/>
          <w:b/>
          <w:szCs w:val="24"/>
        </w:rPr>
        <w:t xml:space="preserve">The budget proposes a </w:t>
      </w:r>
      <w:r w:rsidR="005A58A2">
        <w:rPr>
          <w:rFonts w:eastAsia="Times New Roman" w:cs="Arial"/>
          <w:b/>
          <w:szCs w:val="24"/>
        </w:rPr>
        <w:t xml:space="preserve">rescission </w:t>
      </w:r>
      <w:r w:rsidRPr="00FC777E">
        <w:rPr>
          <w:rFonts w:eastAsia="Times New Roman" w:cs="Arial"/>
          <w:b/>
          <w:szCs w:val="24"/>
        </w:rPr>
        <w:t xml:space="preserve">of $35 million in prior years’ unobligated New Construction balances.  The </w:t>
      </w:r>
      <w:r w:rsidR="006404AD">
        <w:rPr>
          <w:rFonts w:eastAsia="Times New Roman" w:cs="Arial"/>
          <w:b/>
          <w:szCs w:val="24"/>
        </w:rPr>
        <w:t>rescission</w:t>
      </w:r>
      <w:r w:rsidRPr="00FC777E">
        <w:rPr>
          <w:rFonts w:eastAsia="Times New Roman" w:cs="Arial"/>
          <w:b/>
          <w:szCs w:val="24"/>
        </w:rPr>
        <w:t xml:space="preserve"> </w:t>
      </w:r>
      <w:r w:rsidR="00463F37">
        <w:rPr>
          <w:rFonts w:eastAsia="Times New Roman" w:cs="Arial"/>
          <w:b/>
          <w:szCs w:val="24"/>
        </w:rPr>
        <w:t>reduces</w:t>
      </w:r>
      <w:r w:rsidRPr="00FC777E">
        <w:rPr>
          <w:rFonts w:eastAsia="Times New Roman" w:cs="Arial"/>
          <w:b/>
          <w:szCs w:val="24"/>
        </w:rPr>
        <w:t xml:space="preserve"> $30 million from the “Acquire Existing Institution for Higher Security FCI” project and </w:t>
      </w:r>
      <w:r w:rsidR="00463F37">
        <w:rPr>
          <w:rFonts w:eastAsia="Times New Roman" w:cs="Arial"/>
          <w:b/>
          <w:szCs w:val="24"/>
        </w:rPr>
        <w:t xml:space="preserve">reduces </w:t>
      </w:r>
      <w:r w:rsidRPr="00FC777E">
        <w:rPr>
          <w:rFonts w:eastAsia="Times New Roman" w:cs="Arial"/>
          <w:b/>
          <w:szCs w:val="24"/>
        </w:rPr>
        <w:t xml:space="preserve">$5 million from the partially funded “FCI </w:t>
      </w:r>
      <w:r w:rsidR="00485272">
        <w:rPr>
          <w:rFonts w:eastAsia="Times New Roman" w:cs="Arial"/>
          <w:b/>
          <w:szCs w:val="24"/>
        </w:rPr>
        <w:t>Midwestern/</w:t>
      </w:r>
      <w:r w:rsidRPr="00FC777E">
        <w:rPr>
          <w:rFonts w:eastAsia="Times New Roman" w:cs="Arial"/>
          <w:b/>
          <w:szCs w:val="24"/>
        </w:rPr>
        <w:t>Leavenworth, KS” project.</w:t>
      </w:r>
    </w:p>
    <w:p w:rsidR="00FC777E" w:rsidRPr="00FC777E" w:rsidRDefault="00FC777E">
      <w:pPr>
        <w:pStyle w:val="xl19"/>
        <w:spacing w:before="0" w:after="0"/>
        <w:rPr>
          <w:rFonts w:eastAsia="Times New Roman" w:cs="Arial"/>
          <w:b/>
          <w:szCs w:val="24"/>
        </w:rPr>
      </w:pPr>
    </w:p>
    <w:p w:rsidR="00E7077F" w:rsidRDefault="00086364" w:rsidP="00E7077F">
      <w:pPr>
        <w:widowControl w:val="0"/>
      </w:pPr>
      <w:r>
        <w:t>For FY 201</w:t>
      </w:r>
      <w:r w:rsidR="00B77788">
        <w:t>2</w:t>
      </w:r>
      <w:r w:rsidR="00A658A0">
        <w:t>, $2</w:t>
      </w:r>
      <w:r w:rsidR="00A06539">
        <w:t>5</w:t>
      </w:r>
      <w:r>
        <w:t>,</w:t>
      </w:r>
      <w:r w:rsidR="00FC777E">
        <w:t>439</w:t>
      </w:r>
      <w:r w:rsidR="002D4946">
        <w:t>,000</w:t>
      </w:r>
      <w:r>
        <w:t xml:space="preserve"> in </w:t>
      </w:r>
      <w:r w:rsidR="00463F37">
        <w:t>N</w:t>
      </w:r>
      <w:r>
        <w:t xml:space="preserve">ew </w:t>
      </w:r>
      <w:r w:rsidR="00463F37">
        <w:t>C</w:t>
      </w:r>
      <w:r>
        <w:t>onstruction</w:t>
      </w:r>
      <w:r w:rsidR="009952A4">
        <w:t xml:space="preserve"> base funds are required to provide for ongoing expenses within the decision unit.  </w:t>
      </w:r>
      <w:r w:rsidR="00E7077F">
        <w:t>New Construction base resources are essential to the program and are required for the Oklahoma Transfer Center lease payments (approximately $10 million</w:t>
      </w:r>
      <w:r w:rsidR="004D2083">
        <w:t xml:space="preserve"> per </w:t>
      </w:r>
      <w:r w:rsidR="00E7077F">
        <w:t>year); salaries and administrative costs of architects, project managers, site selection, procurement, and other staff necessary to carry out the program objective; environmental requirements and g</w:t>
      </w:r>
      <w:r w:rsidR="0023197C">
        <w:t>eo</w:t>
      </w:r>
      <w:r w:rsidR="00E7077F">
        <w:t>-technical exploration; construction of inmate work program areas; expansion</w:t>
      </w:r>
      <w:r w:rsidR="00E26707">
        <w:t xml:space="preserve"> and </w:t>
      </w:r>
      <w:r w:rsidR="00E7077F">
        <w:t>conversion projects</w:t>
      </w:r>
      <w:r w:rsidR="00E26707">
        <w:t>,</w:t>
      </w:r>
      <w:r w:rsidR="00E7077F">
        <w:t xml:space="preserve"> i.e. additional special housing unit space; and any unforeseen preliminary project costs issues which may arise and are not included in the individual project cost estimate.  Further, new construction base funds are utilized when site investigations are required for a project in which a specific location has not yet been identified.</w:t>
      </w:r>
    </w:p>
    <w:p w:rsidR="00F2305C" w:rsidRDefault="00F2305C" w:rsidP="00E7077F">
      <w:pPr>
        <w:widowControl w:val="0"/>
      </w:pP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Most criminal justice agencies have some degree of discretion in controlling their workloads, typically through priority systems developed to ensure that the most important cases are handled first.  However, the BOP </w:t>
      </w:r>
      <w:r w:rsidR="005D7281">
        <w:t xml:space="preserve">must, by law, </w:t>
      </w:r>
      <w:r>
        <w:t xml:space="preserve">accept all inmates sentenced to confinement by the Federal courts.  In addition, in accordance with the D.C. Revitalization Act of 1997, the BOP </w:t>
      </w:r>
      <w:r w:rsidR="00B44239">
        <w:t xml:space="preserve">must accept </w:t>
      </w:r>
      <w:r>
        <w:t xml:space="preserve">responsibility for the </w:t>
      </w:r>
      <w:smartTag w:uri="urn:schemas-microsoft-com:office:smarttags" w:element="State">
        <w:smartTag w:uri="urn:schemas-microsoft-com:office:smarttags" w:element="place">
          <w:r>
            <w:t>District of Columbia</w:t>
          </w:r>
        </w:smartTag>
      </w:smartTag>
      <w:r>
        <w:t xml:space="preserve"> sentenced felon population.  </w:t>
      </w: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BOP </w:t>
      </w:r>
      <w:r w:rsidR="00A8428D">
        <w:t>regularly</w:t>
      </w:r>
      <w:r>
        <w:t xml:space="preserve"> reviews capacity requirements, considers the current and projected inmate population levels, current law enforcement initiatives, geographic origin of the confined population, and the age and condition of existing facilities.  As </w:t>
      </w:r>
      <w:r w:rsidR="00404902">
        <w:t>f</w:t>
      </w:r>
      <w:r>
        <w:t xml:space="preserve">ederal inmate population levels are projected to continue increasing, </w:t>
      </w:r>
      <w:r w:rsidR="008A058D">
        <w:t>the BOP strives to take all possible actions within constrained budget levels</w:t>
      </w:r>
      <w:r>
        <w:t xml:space="preserve"> to protect the community, while keeping institutional </w:t>
      </w:r>
      <w:r w:rsidR="005D7281">
        <w:t>population numbers</w:t>
      </w:r>
      <w:r w:rsidR="00931A64">
        <w:t xml:space="preserve"> </w:t>
      </w:r>
      <w:r>
        <w:t xml:space="preserve">at manageable levels to ensure that </w:t>
      </w:r>
      <w:r w:rsidR="00920B3D">
        <w:t>f</w:t>
      </w:r>
      <w:r>
        <w:t>ederal inmates continue to serve their sentences in a safe and humane environment.</w:t>
      </w: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BOP strives to accommodate its population in the safest and most cost effective manner.  </w:t>
      </w:r>
      <w:r w:rsidR="00FB79BA">
        <w:t>The BOP continues to explore opportunities for i</w:t>
      </w:r>
      <w:r>
        <w:t>ncreas</w:t>
      </w:r>
      <w:r w:rsidR="00FB79BA">
        <w:t>ing</w:t>
      </w:r>
      <w:r>
        <w:t xml:space="preserve"> capacity through the utilization of contract facilities, expansion of existing facilities, acquisition and conversion of military and other properties to prison use, and </w:t>
      </w:r>
      <w:r w:rsidR="00D6348C">
        <w:t>the ongoing design and construction of new prisons, consistent with the capacity plan</w:t>
      </w:r>
      <w:r w:rsidR="009578AF">
        <w:t xml:space="preserve"> and available funding.</w:t>
      </w: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a cost perspective, the expansion of existing institutions is considered by BOP to be a cost effective technique for increasing prison capacity, and the BOP </w:t>
      </w:r>
      <w:r w:rsidR="004622A9">
        <w:t>has</w:t>
      </w:r>
      <w:r w:rsidR="00303917">
        <w:t xml:space="preserve"> recently</w:t>
      </w:r>
      <w:r w:rsidR="004622A9">
        <w:t xml:space="preserve"> added</w:t>
      </w:r>
      <w:r>
        <w:t xml:space="preserve"> housing units at facilities where program space and systems infrastructure can absorb further population increases.  However, where major program and support areas such as food service and utilities are already seriously over capacity, expansion may be cost prohibitive and other alternatives need to be considered.  </w:t>
      </w:r>
    </w:p>
    <w:p w:rsidR="00A747CA" w:rsidRDefault="00A747CA" w:rsidP="00A74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D0F1A" w:rsidRPr="00DD0F1A" w:rsidRDefault="00B92208" w:rsidP="00DD0F1A">
      <w:pPr>
        <w:autoSpaceDE w:val="0"/>
        <w:autoSpaceDN w:val="0"/>
        <w:adjustRightInd w:val="0"/>
      </w:pPr>
      <w:r>
        <w:t xml:space="preserve">The major challenges in managing the </w:t>
      </w:r>
      <w:r w:rsidR="00920B3D">
        <w:t>f</w:t>
      </w:r>
      <w:r>
        <w:t xml:space="preserve">ederal prisoner population stem from </w:t>
      </w:r>
      <w:r w:rsidR="00404902">
        <w:t xml:space="preserve">the </w:t>
      </w:r>
      <w:r w:rsidR="00931A64">
        <w:t>increasing inmate population</w:t>
      </w:r>
      <w:r>
        <w:t xml:space="preserve"> particularly at higher security institutions.  </w:t>
      </w:r>
      <w:r w:rsidR="00DD0F1A" w:rsidRPr="00DD0F1A">
        <w:t>It is important to note that at the medium security level, about 67 percent of the inmates are drug offenders or weapons offenders, approximately 75 percent have a history of violence, 40 percent have been sanctioned for violating prison rules, and half of the inmates in this population have sentences in excess of 8 years.  At the high security level, more than 70 percent of the inmates are drug offenders, weapons offenders, or robbers, another 10 percent have been convicted of murder, aggravated assault, or kidnapping, and half of the inmates in this population have sentences in excess of 10 years.  Furthermore, nearly 70 percent of high security inmates have been sanctioned for violating prison rules, and more than 90 percent have a history of violence.</w:t>
      </w:r>
    </w:p>
    <w:p w:rsidR="00F75658" w:rsidRDefault="00F75658" w:rsidP="004622A9"/>
    <w:p w:rsidR="005B1E7F" w:rsidRDefault="005B1E7F" w:rsidP="005B1E7F">
      <w:pPr>
        <w:pStyle w:val="xl19"/>
        <w:spacing w:before="0" w:after="0"/>
      </w:pPr>
      <w:r>
        <w:t xml:space="preserve">GAO Report 08-634, PRISON CONSTRUCTION, recommended that the BOP communicate in DOJ’s annual Congressional budget submission:  (1) the extent to which project costs may vary from initial estimates, and (2) changes that may impact the functionality of projects.  </w:t>
      </w:r>
    </w:p>
    <w:p w:rsidR="005B1E7F" w:rsidRDefault="005B1E7F" w:rsidP="005B1E7F">
      <w:pPr>
        <w:pStyle w:val="xl19"/>
        <w:spacing w:before="0" w:after="0"/>
      </w:pPr>
    </w:p>
    <w:p w:rsidR="005B1E7F" w:rsidRDefault="005B1E7F" w:rsidP="005B1E7F">
      <w:pPr>
        <w:numPr>
          <w:ilvl w:val="0"/>
          <w:numId w:val="7"/>
        </w:numPr>
      </w:pPr>
      <w:r>
        <w:t xml:space="preserve">Actual Costs May Vary from Initial Estimates - The cost estimates appearing on the Status of Construction exhibit are preliminary and are updated periodically based on the following factors:  when full construction funds are anticipated to become available; geographic location; historical and projected cost escalation; and allowances for uncertainty as to actual sites to be developed.  Preliminary estimates in this budget have </w:t>
      </w:r>
      <w:r w:rsidR="003C36D0">
        <w:t xml:space="preserve">been adjusted </w:t>
      </w:r>
      <w:r>
        <w:t xml:space="preserve">primarily due to when full construction funds are anticipated to become available and based on security level and capacity changes noted </w:t>
      </w:r>
      <w:r w:rsidR="003C36D0">
        <w:t>below</w:t>
      </w:r>
      <w:r>
        <w:t xml:space="preserve">.  Although cost escalation is currently lower due to the current recession, preliminary cost estimates historically increase </w:t>
      </w:r>
      <w:r>
        <w:lastRenderedPageBreak/>
        <w:t>(approximately 5 percent or more) each year until full funding is provided for projects and construction contracts can be awarded.</w:t>
      </w:r>
    </w:p>
    <w:p w:rsidR="005B1E7F" w:rsidRDefault="005B1E7F" w:rsidP="005B1E7F">
      <w:pPr>
        <w:ind w:left="750"/>
      </w:pPr>
    </w:p>
    <w:p w:rsidR="00024463" w:rsidRDefault="005B1E7F" w:rsidP="005B1E7F">
      <w:pPr>
        <w:numPr>
          <w:ilvl w:val="0"/>
          <w:numId w:val="7"/>
        </w:numPr>
      </w:pPr>
      <w:proofErr w:type="gramStart"/>
      <w:r>
        <w:t xml:space="preserve">Changes from the FY 2011 Congressional Budget </w:t>
      </w:r>
      <w:r w:rsidR="00C30D7B">
        <w:t>–</w:t>
      </w:r>
      <w:r>
        <w:t xml:space="preserve"> </w:t>
      </w:r>
      <w:r w:rsidR="00C30D7B">
        <w:t>Construction at FCI McDowell has</w:t>
      </w:r>
      <w:proofErr w:type="gramEnd"/>
      <w:r w:rsidR="00C30D7B">
        <w:t xml:space="preserve"> been completed</w:t>
      </w:r>
      <w:r w:rsidR="00032DE9">
        <w:t xml:space="preserve"> and the project was removed from the report</w:t>
      </w:r>
      <w:r w:rsidR="00C30D7B">
        <w:t xml:space="preserve">.  </w:t>
      </w:r>
      <w:r w:rsidR="0055635B">
        <w:t xml:space="preserve">The </w:t>
      </w:r>
      <w:r w:rsidR="003C36D0">
        <w:t xml:space="preserve">Acquire Existing Institution for FCI project </w:t>
      </w:r>
      <w:r w:rsidR="007B2EC2">
        <w:t>h</w:t>
      </w:r>
      <w:r w:rsidR="0055635B">
        <w:t xml:space="preserve">as </w:t>
      </w:r>
      <w:r w:rsidR="007B2EC2">
        <w:t xml:space="preserve">been </w:t>
      </w:r>
      <w:r w:rsidR="0055635B">
        <w:t xml:space="preserve">changed from a </w:t>
      </w:r>
      <w:proofErr w:type="gramStart"/>
      <w:r w:rsidR="0055635B">
        <w:t>USP,</w:t>
      </w:r>
      <w:proofErr w:type="gramEnd"/>
      <w:r w:rsidR="0055635B">
        <w:t xml:space="preserve"> however, the </w:t>
      </w:r>
      <w:r w:rsidR="009D0B7D">
        <w:t xml:space="preserve">mission of the </w:t>
      </w:r>
      <w:r w:rsidR="0055635B">
        <w:t xml:space="preserve">institution </w:t>
      </w:r>
      <w:r w:rsidR="009D0B7D">
        <w:t xml:space="preserve">remains the same, </w:t>
      </w:r>
      <w:r w:rsidR="0055635B">
        <w:t xml:space="preserve">to house higher security inmates.  </w:t>
      </w:r>
      <w:r w:rsidR="00032DE9">
        <w:t>The project’s estimated</w:t>
      </w:r>
      <w:r w:rsidR="00824E63">
        <w:t xml:space="preserve"> activ</w:t>
      </w:r>
      <w:r w:rsidR="00C30D7B">
        <w:t>ation funding date was changed from FY 2012 to FY 2013</w:t>
      </w:r>
      <w:r w:rsidR="00824E63">
        <w:t xml:space="preserve"> </w:t>
      </w:r>
      <w:r w:rsidR="00952120">
        <w:t xml:space="preserve">and is uncertain due </w:t>
      </w:r>
      <w:r w:rsidR="00824E63">
        <w:t>to</w:t>
      </w:r>
      <w:r w:rsidR="00952120">
        <w:t xml:space="preserve"> proposed </w:t>
      </w:r>
      <w:r w:rsidR="00FB79BA">
        <w:t>cancellation</w:t>
      </w:r>
      <w:r w:rsidR="00952120">
        <w:t xml:space="preserve"> of funds.</w:t>
      </w:r>
      <w:r w:rsidR="00824E63">
        <w:t xml:space="preserve">  </w:t>
      </w:r>
      <w:r w:rsidR="00C30D7B">
        <w:t xml:space="preserve">The proposed Administrative USP Thomson facility was added, as it is included in the FY 2011 President’s budget.  </w:t>
      </w:r>
      <w:r w:rsidR="0055635B">
        <w:t xml:space="preserve">USP El Reno, OK with camp </w:t>
      </w:r>
      <w:r w:rsidR="007B2EC2">
        <w:t>h</w:t>
      </w:r>
      <w:r w:rsidR="0055635B">
        <w:t xml:space="preserve">as </w:t>
      </w:r>
      <w:r w:rsidR="007B2EC2">
        <w:t xml:space="preserve">been </w:t>
      </w:r>
      <w:r w:rsidR="00463F37">
        <w:t>changed</w:t>
      </w:r>
      <w:r w:rsidR="0055635B">
        <w:t xml:space="preserve"> to an Administrative USP in order to not only house general population hig</w:t>
      </w:r>
      <w:r w:rsidR="009D0B7D">
        <w:t xml:space="preserve">h security inmates but also to accommodate projected increases in inmates designated to the </w:t>
      </w:r>
      <w:r w:rsidR="0055635B">
        <w:t xml:space="preserve">Special Management Unit </w:t>
      </w:r>
      <w:r w:rsidR="009D0B7D">
        <w:t>program</w:t>
      </w:r>
      <w:r w:rsidR="0055635B">
        <w:t xml:space="preserve">.  </w:t>
      </w:r>
      <w:r w:rsidR="009D0B7D">
        <w:t xml:space="preserve">The capacity for </w:t>
      </w:r>
      <w:r w:rsidR="00024463">
        <w:t>this project was increased</w:t>
      </w:r>
      <w:r w:rsidR="009D0B7D">
        <w:t xml:space="preserve"> accordingly</w:t>
      </w:r>
      <w:r w:rsidR="00C30D7B">
        <w:t>.</w:t>
      </w:r>
      <w:r w:rsidR="009D0B7D">
        <w:t xml:space="preserve">  </w:t>
      </w:r>
      <w:r w:rsidR="00E63366">
        <w:t>The security level of USP North Central Region</w:t>
      </w:r>
      <w:r w:rsidR="00824E63">
        <w:t>/Pekin, IL</w:t>
      </w:r>
      <w:r w:rsidR="00E63366">
        <w:t xml:space="preserve"> with camp ha</w:t>
      </w:r>
      <w:r w:rsidR="007B2EC2">
        <w:t>s</w:t>
      </w:r>
      <w:r w:rsidR="00E63366">
        <w:t xml:space="preserve"> been changed from FCI</w:t>
      </w:r>
      <w:r w:rsidR="00280323">
        <w:t xml:space="preserve"> North Central Region</w:t>
      </w:r>
      <w:r w:rsidR="00E63366">
        <w:t xml:space="preserve"> to </w:t>
      </w:r>
      <w:r w:rsidR="00024463">
        <w:t>address</w:t>
      </w:r>
      <w:r w:rsidR="0028739E">
        <w:t xml:space="preserve"> projected high </w:t>
      </w:r>
      <w:r w:rsidR="00024463">
        <w:t xml:space="preserve">inmate </w:t>
      </w:r>
      <w:r w:rsidR="0028739E">
        <w:t xml:space="preserve">crowding </w:t>
      </w:r>
      <w:r w:rsidR="00024463">
        <w:t>rates at U.S. Penitentiaries</w:t>
      </w:r>
      <w:r w:rsidR="00280323">
        <w:t xml:space="preserve"> and to take advantage of shared costs associated with co-locating facilities</w:t>
      </w:r>
      <w:r w:rsidR="00024463">
        <w:t>.  The capacity for this project was adjusted accordingly.</w:t>
      </w:r>
      <w:r w:rsidR="00280323">
        <w:t xml:space="preserve">  The activation funding date</w:t>
      </w:r>
      <w:r w:rsidR="008C04C1">
        <w:t>s</w:t>
      </w:r>
      <w:r w:rsidR="00280323">
        <w:t xml:space="preserve"> for FCI Midwestern/Leavenworth, KS with camp; USP South Central/Forrest City, AR with camp; and </w:t>
      </w:r>
      <w:r w:rsidR="008C04C1">
        <w:t xml:space="preserve">Administrative </w:t>
      </w:r>
      <w:r w:rsidR="00280323">
        <w:t>USP El Reno, OK with camp ha</w:t>
      </w:r>
      <w:r w:rsidR="006404AD">
        <w:t>ve</w:t>
      </w:r>
      <w:r w:rsidR="00280323">
        <w:t xml:space="preserve"> been changed from FY 201</w:t>
      </w:r>
      <w:r w:rsidR="008C04C1">
        <w:t>5</w:t>
      </w:r>
      <w:r w:rsidR="00280323">
        <w:t xml:space="preserve"> to FY201</w:t>
      </w:r>
      <w:r w:rsidR="008C04C1">
        <w:t>6</w:t>
      </w:r>
      <w:r w:rsidR="006404AD">
        <w:t>.  A</w:t>
      </w:r>
      <w:r w:rsidR="00AF6FC0">
        <w:t>lso</w:t>
      </w:r>
      <w:r w:rsidR="00CE422C">
        <w:t>,</w:t>
      </w:r>
      <w:r w:rsidR="006404AD">
        <w:t xml:space="preserve"> this budget proposes a </w:t>
      </w:r>
      <w:r w:rsidR="005A58A2" w:rsidRPr="00E92FC9">
        <w:t>rescission</w:t>
      </w:r>
      <w:r w:rsidR="006404AD">
        <w:t xml:space="preserve"> of partial funding for the FCI Midwestern/Leavenworth project.  T</w:t>
      </w:r>
      <w:r w:rsidR="00280323">
        <w:t>he activation funding date</w:t>
      </w:r>
      <w:r w:rsidR="008C04C1">
        <w:t>s</w:t>
      </w:r>
      <w:r w:rsidR="00280323">
        <w:t xml:space="preserve"> for USP Letcher County, KY with camp; </w:t>
      </w:r>
      <w:r w:rsidR="008C04C1">
        <w:t>USP North Central/Pekin, IL with camp; and FCI Florida with camp ha</w:t>
      </w:r>
      <w:r w:rsidR="006404AD">
        <w:t>ve</w:t>
      </w:r>
      <w:r w:rsidR="008C04C1">
        <w:t xml:space="preserve"> been changed from FY 2016 to FY2017, consistent with the fiscal year</w:t>
      </w:r>
      <w:r w:rsidR="00AF6FC0">
        <w:t>s</w:t>
      </w:r>
      <w:r w:rsidR="008C04C1">
        <w:t xml:space="preserve"> in which construction funding is anticipated to be received.  </w:t>
      </w:r>
    </w:p>
    <w:p w:rsidR="00024463" w:rsidRDefault="00024463" w:rsidP="00024463">
      <w:pPr>
        <w:pStyle w:val="ListParagraph"/>
      </w:pPr>
    </w:p>
    <w:p w:rsidR="005B1E7F" w:rsidRDefault="005B1E7F" w:rsidP="00844E7C">
      <w:pPr>
        <w:ind w:left="750"/>
        <w:sectPr w:rsidR="005B1E7F" w:rsidSect="00832420">
          <w:pgSz w:w="12240" w:h="15840"/>
          <w:pgMar w:top="1440" w:right="1800" w:bottom="1008" w:left="1800" w:header="720" w:footer="720" w:gutter="0"/>
          <w:cols w:space="720"/>
          <w:docGrid w:linePitch="360"/>
        </w:sectPr>
      </w:pPr>
    </w:p>
    <w:p w:rsidR="006D373A" w:rsidRDefault="006D373A" w:rsidP="004622A9"/>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2347"/>
        <w:gridCol w:w="939"/>
        <w:gridCol w:w="996"/>
        <w:gridCol w:w="900"/>
        <w:gridCol w:w="1140"/>
        <w:gridCol w:w="1200"/>
        <w:gridCol w:w="1320"/>
        <w:gridCol w:w="1440"/>
        <w:gridCol w:w="1133"/>
        <w:gridCol w:w="1347"/>
        <w:gridCol w:w="993"/>
      </w:tblGrid>
      <w:tr w:rsidR="00C7599F" w:rsidTr="0089650C">
        <w:trPr>
          <w:trHeight w:val="299"/>
        </w:trPr>
        <w:tc>
          <w:tcPr>
            <w:tcW w:w="15030" w:type="dxa"/>
            <w:gridSpan w:val="12"/>
            <w:vAlign w:val="center"/>
          </w:tcPr>
          <w:p w:rsidR="009D182D" w:rsidRPr="00EA7749" w:rsidRDefault="009D182D" w:rsidP="00EA7749">
            <w:pPr>
              <w:ind w:left="-51"/>
              <w:rPr>
                <w:rFonts w:ascii="Arial" w:hAnsi="Arial" w:cs="Arial"/>
                <w:b/>
                <w:sz w:val="16"/>
                <w:szCs w:val="16"/>
              </w:rPr>
            </w:pPr>
          </w:p>
          <w:p w:rsidR="009D182D" w:rsidRPr="00EA7749" w:rsidRDefault="009D182D" w:rsidP="00EA7749">
            <w:pPr>
              <w:ind w:left="-51"/>
              <w:rPr>
                <w:rFonts w:ascii="Arial" w:hAnsi="Arial" w:cs="Arial"/>
                <w:b/>
                <w:sz w:val="16"/>
                <w:szCs w:val="16"/>
              </w:rPr>
            </w:pPr>
          </w:p>
          <w:p w:rsidR="00C7599F" w:rsidRPr="00EA7749" w:rsidRDefault="00C7599F" w:rsidP="00EA7749">
            <w:pPr>
              <w:ind w:left="-51"/>
              <w:jc w:val="center"/>
              <w:rPr>
                <w:rFonts w:ascii="Arial" w:hAnsi="Arial" w:cs="Arial"/>
                <w:b/>
                <w:sz w:val="16"/>
                <w:szCs w:val="16"/>
              </w:rPr>
            </w:pPr>
            <w:r w:rsidRPr="00EA7749">
              <w:rPr>
                <w:rFonts w:ascii="Arial" w:hAnsi="Arial" w:cs="Arial"/>
                <w:b/>
                <w:sz w:val="16"/>
                <w:szCs w:val="16"/>
              </w:rPr>
              <w:t>PERFORMANCE AND RESOURCES TABLE</w:t>
            </w:r>
          </w:p>
        </w:tc>
      </w:tr>
      <w:tr w:rsidR="00C7599F" w:rsidTr="0089650C">
        <w:trPr>
          <w:trHeight w:val="299"/>
        </w:trPr>
        <w:tc>
          <w:tcPr>
            <w:tcW w:w="15030" w:type="dxa"/>
            <w:gridSpan w:val="12"/>
            <w:vAlign w:val="bottom"/>
          </w:tcPr>
          <w:p w:rsidR="00C7599F" w:rsidRPr="00EA7749" w:rsidRDefault="00C7599F" w:rsidP="00C7599F">
            <w:pPr>
              <w:rPr>
                <w:rFonts w:ascii="Arial" w:hAnsi="Arial" w:cs="Arial"/>
                <w:b/>
                <w:sz w:val="16"/>
                <w:szCs w:val="16"/>
              </w:rPr>
            </w:pPr>
            <w:r w:rsidRPr="00EA7749">
              <w:rPr>
                <w:rFonts w:ascii="Arial" w:hAnsi="Arial" w:cs="Arial"/>
                <w:b/>
                <w:sz w:val="16"/>
                <w:szCs w:val="16"/>
              </w:rPr>
              <w:t>Decision Unit: New Construction</w:t>
            </w:r>
          </w:p>
        </w:tc>
      </w:tr>
      <w:tr w:rsidR="00C7599F" w:rsidTr="0089650C">
        <w:trPr>
          <w:trHeight w:val="299"/>
        </w:trPr>
        <w:tc>
          <w:tcPr>
            <w:tcW w:w="15030" w:type="dxa"/>
            <w:gridSpan w:val="12"/>
            <w:vAlign w:val="bottom"/>
          </w:tcPr>
          <w:p w:rsidR="00C7599F" w:rsidRPr="00EA7749" w:rsidRDefault="00C7599F" w:rsidP="00C7599F">
            <w:pPr>
              <w:rPr>
                <w:rFonts w:ascii="Arial" w:hAnsi="Arial" w:cs="Arial"/>
                <w:b/>
                <w:sz w:val="16"/>
                <w:szCs w:val="16"/>
              </w:rPr>
            </w:pPr>
            <w:r w:rsidRPr="00EA7749">
              <w:rPr>
                <w:rFonts w:ascii="Arial" w:hAnsi="Arial" w:cs="Arial"/>
                <w:b/>
                <w:sz w:val="16"/>
                <w:szCs w:val="16"/>
              </w:rPr>
              <w:t>DOJ Strategic Goal/Objective:  3.3</w:t>
            </w:r>
          </w:p>
        </w:tc>
      </w:tr>
      <w:tr w:rsidR="00C7599F" w:rsidTr="0089650C">
        <w:trPr>
          <w:trHeight w:val="448"/>
        </w:trPr>
        <w:tc>
          <w:tcPr>
            <w:tcW w:w="3622" w:type="dxa"/>
            <w:gridSpan w:val="2"/>
          </w:tcPr>
          <w:p w:rsidR="00C7599F" w:rsidRPr="00EA7749" w:rsidRDefault="00C7599F" w:rsidP="00C7599F">
            <w:pPr>
              <w:rPr>
                <w:rFonts w:ascii="Arial" w:hAnsi="Arial" w:cs="Arial"/>
                <w:b/>
                <w:sz w:val="16"/>
                <w:szCs w:val="16"/>
              </w:rPr>
            </w:pPr>
            <w:r w:rsidRPr="00EA7749">
              <w:rPr>
                <w:rFonts w:ascii="Arial" w:hAnsi="Arial" w:cs="Arial"/>
                <w:b/>
                <w:sz w:val="16"/>
                <w:szCs w:val="16"/>
              </w:rPr>
              <w:t>Workload/Resources</w:t>
            </w:r>
          </w:p>
          <w:p w:rsidR="00C7599F" w:rsidRPr="00EA7749" w:rsidRDefault="00C7599F" w:rsidP="00C7599F">
            <w:pPr>
              <w:rPr>
                <w:rFonts w:ascii="Arial" w:hAnsi="Arial" w:cs="Arial"/>
                <w:b/>
                <w:sz w:val="16"/>
                <w:szCs w:val="16"/>
              </w:rPr>
            </w:pPr>
          </w:p>
        </w:tc>
        <w:tc>
          <w:tcPr>
            <w:tcW w:w="1935" w:type="dxa"/>
            <w:gridSpan w:val="2"/>
            <w:vAlign w:val="center"/>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Final Target</w:t>
            </w:r>
          </w:p>
        </w:tc>
        <w:tc>
          <w:tcPr>
            <w:tcW w:w="2040" w:type="dxa"/>
            <w:gridSpan w:val="2"/>
            <w:shd w:val="clear" w:color="auto" w:fill="E0E0E0"/>
          </w:tcPr>
          <w:p w:rsidR="007E2C22" w:rsidRPr="00EA7749" w:rsidRDefault="007E2C22" w:rsidP="00EA7749">
            <w:pPr>
              <w:jc w:val="center"/>
              <w:rPr>
                <w:rFonts w:ascii="Arial" w:hAnsi="Arial" w:cs="Arial"/>
                <w:b/>
                <w:sz w:val="16"/>
                <w:szCs w:val="16"/>
              </w:rPr>
            </w:pPr>
          </w:p>
          <w:p w:rsidR="00C7599F" w:rsidRPr="00EA7749" w:rsidRDefault="002A6753" w:rsidP="00EA7749">
            <w:pPr>
              <w:jc w:val="center"/>
              <w:rPr>
                <w:rFonts w:ascii="Arial" w:hAnsi="Arial" w:cs="Arial"/>
                <w:b/>
                <w:sz w:val="16"/>
                <w:szCs w:val="16"/>
              </w:rPr>
            </w:pPr>
            <w:r>
              <w:rPr>
                <w:rFonts w:ascii="Arial" w:hAnsi="Arial" w:cs="Arial"/>
                <w:b/>
                <w:sz w:val="16"/>
                <w:szCs w:val="16"/>
              </w:rPr>
              <w:t>Actual</w:t>
            </w:r>
          </w:p>
        </w:tc>
        <w:tc>
          <w:tcPr>
            <w:tcW w:w="2520" w:type="dxa"/>
            <w:gridSpan w:val="2"/>
            <w:vAlign w:val="center"/>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Projected</w:t>
            </w:r>
          </w:p>
        </w:tc>
        <w:tc>
          <w:tcPr>
            <w:tcW w:w="2573" w:type="dxa"/>
            <w:gridSpan w:val="2"/>
            <w:vAlign w:val="center"/>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Changes</w:t>
            </w:r>
          </w:p>
        </w:tc>
        <w:tc>
          <w:tcPr>
            <w:tcW w:w="2340" w:type="dxa"/>
            <w:gridSpan w:val="2"/>
            <w:vAlign w:val="center"/>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Requested (Total)</w:t>
            </w:r>
          </w:p>
        </w:tc>
      </w:tr>
      <w:tr w:rsidR="00C7599F" w:rsidTr="0089650C">
        <w:trPr>
          <w:trHeight w:val="448"/>
        </w:trPr>
        <w:tc>
          <w:tcPr>
            <w:tcW w:w="3622" w:type="dxa"/>
            <w:gridSpan w:val="2"/>
          </w:tcPr>
          <w:p w:rsidR="00C7599F" w:rsidRPr="00EA7749" w:rsidRDefault="00C7599F" w:rsidP="00C7599F">
            <w:pPr>
              <w:rPr>
                <w:rFonts w:ascii="Arial" w:hAnsi="Arial" w:cs="Arial"/>
                <w:b/>
                <w:sz w:val="16"/>
                <w:szCs w:val="16"/>
              </w:rPr>
            </w:pPr>
          </w:p>
        </w:tc>
        <w:tc>
          <w:tcPr>
            <w:tcW w:w="1935" w:type="dxa"/>
            <w:gridSpan w:val="2"/>
            <w:vAlign w:val="center"/>
          </w:tcPr>
          <w:p w:rsidR="00C7599F" w:rsidRPr="00EA7749" w:rsidRDefault="00C7599F" w:rsidP="00951044">
            <w:pPr>
              <w:jc w:val="center"/>
              <w:rPr>
                <w:rFonts w:ascii="Arial" w:hAnsi="Arial" w:cs="Arial"/>
                <w:b/>
                <w:sz w:val="16"/>
                <w:szCs w:val="16"/>
              </w:rPr>
            </w:pPr>
            <w:r w:rsidRPr="00EA7749">
              <w:rPr>
                <w:rFonts w:ascii="Arial" w:hAnsi="Arial" w:cs="Arial"/>
                <w:b/>
                <w:sz w:val="16"/>
                <w:szCs w:val="16"/>
              </w:rPr>
              <w:t xml:space="preserve">FY </w:t>
            </w:r>
            <w:r w:rsidR="00951044">
              <w:rPr>
                <w:rFonts w:ascii="Arial" w:hAnsi="Arial" w:cs="Arial"/>
                <w:b/>
                <w:sz w:val="16"/>
                <w:szCs w:val="16"/>
              </w:rPr>
              <w:t>2010</w:t>
            </w:r>
          </w:p>
        </w:tc>
        <w:tc>
          <w:tcPr>
            <w:tcW w:w="2040" w:type="dxa"/>
            <w:gridSpan w:val="2"/>
            <w:tcBorders>
              <w:bottom w:val="single" w:sz="4" w:space="0" w:color="auto"/>
            </w:tcBorders>
            <w:shd w:val="clear" w:color="auto" w:fill="E0E0E0"/>
            <w:vAlign w:val="center"/>
          </w:tcPr>
          <w:p w:rsidR="00C7599F" w:rsidRPr="00EA7749" w:rsidRDefault="00C7599F" w:rsidP="00951044">
            <w:pPr>
              <w:jc w:val="center"/>
              <w:rPr>
                <w:rFonts w:ascii="Arial" w:hAnsi="Arial" w:cs="Arial"/>
                <w:b/>
                <w:sz w:val="16"/>
                <w:szCs w:val="16"/>
              </w:rPr>
            </w:pPr>
            <w:r w:rsidRPr="00EA7749">
              <w:rPr>
                <w:rFonts w:ascii="Arial" w:hAnsi="Arial" w:cs="Arial"/>
                <w:b/>
                <w:sz w:val="16"/>
                <w:szCs w:val="16"/>
              </w:rPr>
              <w:t xml:space="preserve">FY </w:t>
            </w:r>
            <w:r w:rsidR="00951044">
              <w:rPr>
                <w:rFonts w:ascii="Arial" w:hAnsi="Arial" w:cs="Arial"/>
                <w:b/>
                <w:sz w:val="16"/>
                <w:szCs w:val="16"/>
              </w:rPr>
              <w:t>2010</w:t>
            </w:r>
          </w:p>
        </w:tc>
        <w:tc>
          <w:tcPr>
            <w:tcW w:w="2520" w:type="dxa"/>
            <w:gridSpan w:val="2"/>
            <w:vAlign w:val="center"/>
          </w:tcPr>
          <w:p w:rsidR="003038C9" w:rsidRPr="00EA7749" w:rsidRDefault="00742221" w:rsidP="002A6753">
            <w:pPr>
              <w:jc w:val="center"/>
              <w:rPr>
                <w:rFonts w:ascii="Arial" w:hAnsi="Arial" w:cs="Arial"/>
                <w:b/>
                <w:sz w:val="16"/>
                <w:szCs w:val="16"/>
              </w:rPr>
            </w:pPr>
            <w:r>
              <w:rPr>
                <w:rFonts w:ascii="Arial" w:hAnsi="Arial" w:cs="Arial"/>
                <w:b/>
                <w:sz w:val="16"/>
                <w:szCs w:val="16"/>
              </w:rPr>
              <w:t xml:space="preserve">FY </w:t>
            </w:r>
            <w:r w:rsidR="00951044">
              <w:rPr>
                <w:rFonts w:ascii="Arial" w:hAnsi="Arial" w:cs="Arial"/>
                <w:b/>
                <w:sz w:val="16"/>
                <w:szCs w:val="16"/>
              </w:rPr>
              <w:t xml:space="preserve">2011 </w:t>
            </w:r>
            <w:r w:rsidR="002A6753">
              <w:rPr>
                <w:rFonts w:ascii="Arial" w:hAnsi="Arial" w:cs="Arial"/>
                <w:b/>
                <w:sz w:val="16"/>
                <w:szCs w:val="16"/>
              </w:rPr>
              <w:t>CR</w:t>
            </w:r>
          </w:p>
        </w:tc>
        <w:tc>
          <w:tcPr>
            <w:tcW w:w="2573" w:type="dxa"/>
            <w:gridSpan w:val="2"/>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 xml:space="preserve"> Current Services</w:t>
            </w:r>
            <w:r w:rsidR="00294336" w:rsidRPr="00EA7749">
              <w:rPr>
                <w:rFonts w:ascii="Arial" w:hAnsi="Arial" w:cs="Arial"/>
                <w:b/>
                <w:sz w:val="16"/>
                <w:szCs w:val="16"/>
              </w:rPr>
              <w:t xml:space="preserve"> Adjustments</w:t>
            </w:r>
          </w:p>
          <w:p w:rsidR="00C7599F" w:rsidRPr="00EA7749" w:rsidRDefault="00294336" w:rsidP="00EA7749">
            <w:pPr>
              <w:jc w:val="center"/>
              <w:rPr>
                <w:rFonts w:ascii="Arial" w:hAnsi="Arial" w:cs="Arial"/>
                <w:b/>
                <w:sz w:val="16"/>
                <w:szCs w:val="16"/>
              </w:rPr>
            </w:pPr>
            <w:r w:rsidRPr="00EA7749">
              <w:rPr>
                <w:rFonts w:ascii="Arial" w:hAnsi="Arial" w:cs="Arial"/>
                <w:b/>
                <w:sz w:val="16"/>
                <w:szCs w:val="16"/>
              </w:rPr>
              <w:t xml:space="preserve"> and FY 201</w:t>
            </w:r>
            <w:r w:rsidR="00951044">
              <w:rPr>
                <w:rFonts w:ascii="Arial" w:hAnsi="Arial" w:cs="Arial"/>
                <w:b/>
                <w:sz w:val="16"/>
                <w:szCs w:val="16"/>
              </w:rPr>
              <w:t>2</w:t>
            </w:r>
            <w:r w:rsidRPr="00EA7749">
              <w:rPr>
                <w:rFonts w:ascii="Arial" w:hAnsi="Arial" w:cs="Arial"/>
                <w:b/>
                <w:sz w:val="16"/>
                <w:szCs w:val="16"/>
              </w:rPr>
              <w:t xml:space="preserve"> Program Changes</w:t>
            </w:r>
          </w:p>
        </w:tc>
        <w:tc>
          <w:tcPr>
            <w:tcW w:w="2340" w:type="dxa"/>
            <w:gridSpan w:val="2"/>
            <w:vAlign w:val="center"/>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FY 201</w:t>
            </w:r>
            <w:r w:rsidR="00951044">
              <w:rPr>
                <w:rFonts w:ascii="Arial" w:hAnsi="Arial" w:cs="Arial"/>
                <w:b/>
                <w:sz w:val="16"/>
                <w:szCs w:val="16"/>
              </w:rPr>
              <w:t>2</w:t>
            </w:r>
            <w:r w:rsidRPr="00EA7749">
              <w:rPr>
                <w:rFonts w:ascii="Arial" w:hAnsi="Arial" w:cs="Arial"/>
                <w:b/>
                <w:sz w:val="16"/>
                <w:szCs w:val="16"/>
              </w:rPr>
              <w:t xml:space="preserve"> Request</w:t>
            </w:r>
          </w:p>
        </w:tc>
      </w:tr>
      <w:tr w:rsidR="00C7599F" w:rsidTr="0089650C">
        <w:trPr>
          <w:trHeight w:val="223"/>
        </w:trPr>
        <w:tc>
          <w:tcPr>
            <w:tcW w:w="3622" w:type="dxa"/>
            <w:gridSpan w:val="2"/>
          </w:tcPr>
          <w:p w:rsidR="00C7599F" w:rsidRPr="00EA7749" w:rsidRDefault="00C7599F" w:rsidP="00C7599F">
            <w:pPr>
              <w:rPr>
                <w:rFonts w:ascii="Arial" w:hAnsi="Arial" w:cs="Arial"/>
                <w:b/>
                <w:sz w:val="16"/>
                <w:szCs w:val="16"/>
              </w:rPr>
            </w:pPr>
            <w:r w:rsidRPr="00EA7749">
              <w:rPr>
                <w:rFonts w:ascii="Arial" w:hAnsi="Arial" w:cs="Arial"/>
                <w:b/>
                <w:sz w:val="16"/>
                <w:szCs w:val="16"/>
              </w:rPr>
              <w:t xml:space="preserve">Workload:  </w:t>
            </w:r>
          </w:p>
        </w:tc>
        <w:tc>
          <w:tcPr>
            <w:tcW w:w="1935" w:type="dxa"/>
            <w:gridSpan w:val="2"/>
          </w:tcPr>
          <w:p w:rsidR="00C7599F" w:rsidRPr="00EA7749" w:rsidRDefault="00C7599F" w:rsidP="00C7599F">
            <w:pPr>
              <w:rPr>
                <w:rFonts w:ascii="Arial" w:hAnsi="Arial" w:cs="Arial"/>
                <w:sz w:val="16"/>
                <w:szCs w:val="16"/>
              </w:rPr>
            </w:pPr>
            <w:r w:rsidRPr="00EA7749">
              <w:rPr>
                <w:rFonts w:ascii="Arial" w:hAnsi="Arial" w:cs="Arial"/>
                <w:sz w:val="16"/>
                <w:szCs w:val="16"/>
              </w:rPr>
              <w:t xml:space="preserve">        </w:t>
            </w:r>
          </w:p>
        </w:tc>
        <w:tc>
          <w:tcPr>
            <w:tcW w:w="2040" w:type="dxa"/>
            <w:gridSpan w:val="2"/>
            <w:shd w:val="clear" w:color="auto" w:fill="E0E0E0"/>
          </w:tcPr>
          <w:p w:rsidR="00C7599F" w:rsidRPr="00EA7749" w:rsidRDefault="00C7599F" w:rsidP="00C7599F">
            <w:pPr>
              <w:rPr>
                <w:rFonts w:ascii="Arial" w:hAnsi="Arial" w:cs="Arial"/>
                <w:sz w:val="16"/>
                <w:szCs w:val="16"/>
              </w:rPr>
            </w:pPr>
          </w:p>
        </w:tc>
        <w:tc>
          <w:tcPr>
            <w:tcW w:w="2520" w:type="dxa"/>
            <w:gridSpan w:val="2"/>
          </w:tcPr>
          <w:p w:rsidR="00C7599F" w:rsidRPr="00EA7749" w:rsidRDefault="00C7599F" w:rsidP="00C7599F">
            <w:pPr>
              <w:rPr>
                <w:rFonts w:ascii="Arial" w:hAnsi="Arial" w:cs="Arial"/>
                <w:sz w:val="16"/>
                <w:szCs w:val="16"/>
              </w:rPr>
            </w:pPr>
          </w:p>
        </w:tc>
        <w:tc>
          <w:tcPr>
            <w:tcW w:w="2573" w:type="dxa"/>
            <w:gridSpan w:val="2"/>
          </w:tcPr>
          <w:p w:rsidR="00C7599F" w:rsidRPr="00EA7749" w:rsidRDefault="00C7599F" w:rsidP="00C7599F">
            <w:pPr>
              <w:rPr>
                <w:rFonts w:ascii="Arial" w:hAnsi="Arial" w:cs="Arial"/>
                <w:sz w:val="16"/>
                <w:szCs w:val="16"/>
              </w:rPr>
            </w:pPr>
          </w:p>
        </w:tc>
        <w:tc>
          <w:tcPr>
            <w:tcW w:w="2340" w:type="dxa"/>
            <w:gridSpan w:val="2"/>
          </w:tcPr>
          <w:p w:rsidR="00C7599F" w:rsidRPr="00EA7749" w:rsidRDefault="00C7599F" w:rsidP="00C7599F">
            <w:pPr>
              <w:rPr>
                <w:rFonts w:ascii="Arial" w:hAnsi="Arial" w:cs="Arial"/>
                <w:sz w:val="16"/>
                <w:szCs w:val="16"/>
              </w:rPr>
            </w:pPr>
          </w:p>
        </w:tc>
      </w:tr>
      <w:tr w:rsidR="004867BD" w:rsidTr="0089650C">
        <w:trPr>
          <w:trHeight w:val="223"/>
        </w:trPr>
        <w:tc>
          <w:tcPr>
            <w:tcW w:w="3622" w:type="dxa"/>
            <w:gridSpan w:val="2"/>
          </w:tcPr>
          <w:p w:rsidR="004867BD" w:rsidRPr="00EA7749" w:rsidRDefault="004867BD" w:rsidP="00C7599F">
            <w:pPr>
              <w:rPr>
                <w:rFonts w:ascii="Arial" w:hAnsi="Arial" w:cs="Arial"/>
                <w:b/>
                <w:sz w:val="16"/>
                <w:szCs w:val="16"/>
              </w:rPr>
            </w:pPr>
            <w:r w:rsidRPr="00EA7749">
              <w:rPr>
                <w:rFonts w:ascii="Arial" w:hAnsi="Arial" w:cs="Arial"/>
                <w:b/>
                <w:sz w:val="16"/>
                <w:szCs w:val="16"/>
              </w:rPr>
              <w:t>1. Number of beds added (BOP facilities)</w:t>
            </w:r>
          </w:p>
        </w:tc>
        <w:tc>
          <w:tcPr>
            <w:tcW w:w="1935" w:type="dxa"/>
            <w:gridSpan w:val="2"/>
            <w:vAlign w:val="center"/>
          </w:tcPr>
          <w:p w:rsidR="004867BD" w:rsidRPr="00EA7749" w:rsidRDefault="00D90718" w:rsidP="00EA7749">
            <w:pPr>
              <w:jc w:val="center"/>
              <w:rPr>
                <w:rFonts w:ascii="Arial" w:hAnsi="Arial" w:cs="Arial"/>
                <w:sz w:val="16"/>
                <w:szCs w:val="16"/>
              </w:rPr>
            </w:pPr>
            <w:r>
              <w:rPr>
                <w:rFonts w:ascii="Arial" w:hAnsi="Arial" w:cs="Arial"/>
                <w:sz w:val="16"/>
                <w:szCs w:val="16"/>
              </w:rPr>
              <w:t>930</w:t>
            </w:r>
          </w:p>
        </w:tc>
        <w:tc>
          <w:tcPr>
            <w:tcW w:w="2040" w:type="dxa"/>
            <w:gridSpan w:val="2"/>
            <w:shd w:val="clear" w:color="auto" w:fill="E0E0E0"/>
            <w:vAlign w:val="center"/>
          </w:tcPr>
          <w:p w:rsidR="004867BD" w:rsidRPr="00EA7749" w:rsidRDefault="00F10D40" w:rsidP="00DC4681">
            <w:pPr>
              <w:jc w:val="center"/>
              <w:rPr>
                <w:rFonts w:ascii="Arial" w:hAnsi="Arial" w:cs="Arial"/>
                <w:sz w:val="16"/>
                <w:szCs w:val="16"/>
              </w:rPr>
            </w:pPr>
            <w:r>
              <w:rPr>
                <w:rFonts w:ascii="Arial" w:hAnsi="Arial" w:cs="Arial"/>
                <w:sz w:val="16"/>
                <w:szCs w:val="16"/>
              </w:rPr>
              <w:t>485</w:t>
            </w:r>
          </w:p>
        </w:tc>
        <w:tc>
          <w:tcPr>
            <w:tcW w:w="2520" w:type="dxa"/>
            <w:gridSpan w:val="2"/>
            <w:vAlign w:val="center"/>
          </w:tcPr>
          <w:p w:rsidR="004867BD" w:rsidRPr="00EA7749" w:rsidRDefault="007F1726" w:rsidP="00F10D40">
            <w:pPr>
              <w:jc w:val="center"/>
              <w:rPr>
                <w:rFonts w:ascii="Arial" w:hAnsi="Arial" w:cs="Arial"/>
                <w:sz w:val="16"/>
                <w:szCs w:val="16"/>
              </w:rPr>
            </w:pPr>
            <w:r>
              <w:rPr>
                <w:rFonts w:ascii="Arial" w:hAnsi="Arial" w:cs="Arial"/>
                <w:sz w:val="16"/>
                <w:szCs w:val="16"/>
              </w:rPr>
              <w:t>958</w:t>
            </w:r>
          </w:p>
        </w:tc>
        <w:tc>
          <w:tcPr>
            <w:tcW w:w="2573" w:type="dxa"/>
            <w:gridSpan w:val="2"/>
            <w:vAlign w:val="center"/>
          </w:tcPr>
          <w:p w:rsidR="004867BD" w:rsidRPr="00EA7749" w:rsidRDefault="007F1726" w:rsidP="00F10D40">
            <w:pPr>
              <w:jc w:val="center"/>
              <w:rPr>
                <w:rFonts w:ascii="Arial" w:hAnsi="Arial" w:cs="Arial"/>
                <w:sz w:val="16"/>
                <w:szCs w:val="16"/>
              </w:rPr>
            </w:pPr>
            <w:r>
              <w:rPr>
                <w:rFonts w:ascii="Arial" w:hAnsi="Arial" w:cs="Arial"/>
                <w:sz w:val="16"/>
                <w:szCs w:val="16"/>
              </w:rPr>
              <w:t>650</w:t>
            </w:r>
          </w:p>
        </w:tc>
        <w:tc>
          <w:tcPr>
            <w:tcW w:w="2340" w:type="dxa"/>
            <w:gridSpan w:val="2"/>
            <w:vAlign w:val="center"/>
          </w:tcPr>
          <w:p w:rsidR="004867BD" w:rsidRPr="00EA7749" w:rsidRDefault="007F1726" w:rsidP="007F1726">
            <w:pPr>
              <w:jc w:val="center"/>
              <w:rPr>
                <w:rFonts w:ascii="Arial" w:hAnsi="Arial" w:cs="Arial"/>
                <w:sz w:val="16"/>
                <w:szCs w:val="16"/>
              </w:rPr>
            </w:pPr>
            <w:r>
              <w:rPr>
                <w:rFonts w:ascii="Arial" w:hAnsi="Arial" w:cs="Arial"/>
                <w:sz w:val="16"/>
                <w:szCs w:val="16"/>
              </w:rPr>
              <w:t>1</w:t>
            </w:r>
            <w:r w:rsidR="000A666D">
              <w:rPr>
                <w:rFonts w:ascii="Arial" w:hAnsi="Arial" w:cs="Arial"/>
                <w:sz w:val="16"/>
                <w:szCs w:val="16"/>
              </w:rPr>
              <w:t>,</w:t>
            </w:r>
            <w:r>
              <w:rPr>
                <w:rFonts w:ascii="Arial" w:hAnsi="Arial" w:cs="Arial"/>
                <w:sz w:val="16"/>
                <w:szCs w:val="16"/>
              </w:rPr>
              <w:t>608</w:t>
            </w:r>
          </w:p>
        </w:tc>
      </w:tr>
      <w:tr w:rsidR="004867BD" w:rsidTr="0089650C">
        <w:trPr>
          <w:trHeight w:val="223"/>
        </w:trPr>
        <w:tc>
          <w:tcPr>
            <w:tcW w:w="3622" w:type="dxa"/>
            <w:gridSpan w:val="2"/>
          </w:tcPr>
          <w:p w:rsidR="004867BD" w:rsidRPr="00EA7749" w:rsidRDefault="004867BD" w:rsidP="00C7599F">
            <w:pPr>
              <w:rPr>
                <w:rFonts w:ascii="Arial" w:hAnsi="Arial" w:cs="Arial"/>
                <w:b/>
                <w:sz w:val="16"/>
                <w:szCs w:val="16"/>
              </w:rPr>
            </w:pPr>
            <w:r w:rsidRPr="00EA7749">
              <w:rPr>
                <w:rFonts w:ascii="Arial" w:hAnsi="Arial" w:cs="Arial"/>
                <w:b/>
                <w:sz w:val="16"/>
                <w:szCs w:val="16"/>
              </w:rPr>
              <w:t>2. End of Year Capacity (BOP facilities)</w:t>
            </w:r>
          </w:p>
        </w:tc>
        <w:tc>
          <w:tcPr>
            <w:tcW w:w="1935" w:type="dxa"/>
            <w:gridSpan w:val="2"/>
            <w:vAlign w:val="center"/>
          </w:tcPr>
          <w:p w:rsidR="004867BD" w:rsidRPr="00EA7749" w:rsidRDefault="00D90718" w:rsidP="00EA7749">
            <w:pPr>
              <w:jc w:val="center"/>
              <w:rPr>
                <w:rFonts w:ascii="Arial" w:hAnsi="Arial" w:cs="Arial"/>
                <w:sz w:val="16"/>
                <w:szCs w:val="16"/>
              </w:rPr>
            </w:pPr>
            <w:r>
              <w:rPr>
                <w:rFonts w:ascii="Arial" w:hAnsi="Arial" w:cs="Arial"/>
                <w:sz w:val="16"/>
                <w:szCs w:val="16"/>
              </w:rPr>
              <w:t>126,708</w:t>
            </w:r>
          </w:p>
        </w:tc>
        <w:tc>
          <w:tcPr>
            <w:tcW w:w="2040" w:type="dxa"/>
            <w:gridSpan w:val="2"/>
            <w:tcBorders>
              <w:bottom w:val="single" w:sz="4" w:space="0" w:color="auto"/>
            </w:tcBorders>
            <w:shd w:val="clear" w:color="auto" w:fill="E0E0E0"/>
            <w:vAlign w:val="center"/>
          </w:tcPr>
          <w:p w:rsidR="004867BD" w:rsidRPr="00EA7749" w:rsidRDefault="00F43DB2" w:rsidP="002A6753">
            <w:pPr>
              <w:jc w:val="center"/>
              <w:rPr>
                <w:rFonts w:ascii="Arial" w:hAnsi="Arial" w:cs="Arial"/>
                <w:sz w:val="16"/>
                <w:szCs w:val="16"/>
              </w:rPr>
            </w:pPr>
            <w:r>
              <w:rPr>
                <w:rFonts w:ascii="Arial" w:hAnsi="Arial" w:cs="Arial"/>
                <w:sz w:val="16"/>
                <w:szCs w:val="16"/>
              </w:rPr>
              <w:t>126,</w:t>
            </w:r>
            <w:r w:rsidR="002A6753">
              <w:rPr>
                <w:rFonts w:ascii="Arial" w:hAnsi="Arial" w:cs="Arial"/>
                <w:sz w:val="16"/>
                <w:szCs w:val="16"/>
              </w:rPr>
              <w:t>713</w:t>
            </w:r>
          </w:p>
        </w:tc>
        <w:tc>
          <w:tcPr>
            <w:tcW w:w="2520" w:type="dxa"/>
            <w:gridSpan w:val="2"/>
            <w:vAlign w:val="center"/>
          </w:tcPr>
          <w:p w:rsidR="004867BD" w:rsidRPr="00EA7749" w:rsidRDefault="00D90718" w:rsidP="00267120">
            <w:pPr>
              <w:jc w:val="center"/>
              <w:rPr>
                <w:rFonts w:ascii="Arial" w:hAnsi="Arial" w:cs="Arial"/>
                <w:sz w:val="16"/>
                <w:szCs w:val="16"/>
              </w:rPr>
            </w:pPr>
            <w:r>
              <w:rPr>
                <w:rFonts w:ascii="Arial" w:hAnsi="Arial" w:cs="Arial"/>
                <w:sz w:val="16"/>
                <w:szCs w:val="16"/>
              </w:rPr>
              <w:t>12</w:t>
            </w:r>
            <w:r w:rsidR="00267120">
              <w:rPr>
                <w:rFonts w:ascii="Arial" w:hAnsi="Arial" w:cs="Arial"/>
                <w:sz w:val="16"/>
                <w:szCs w:val="16"/>
              </w:rPr>
              <w:t>7</w:t>
            </w:r>
            <w:r>
              <w:rPr>
                <w:rFonts w:ascii="Arial" w:hAnsi="Arial" w:cs="Arial"/>
                <w:sz w:val="16"/>
                <w:szCs w:val="16"/>
              </w:rPr>
              <w:t>,</w:t>
            </w:r>
            <w:r w:rsidR="00267120">
              <w:rPr>
                <w:rFonts w:ascii="Arial" w:hAnsi="Arial" w:cs="Arial"/>
                <w:sz w:val="16"/>
                <w:szCs w:val="16"/>
              </w:rPr>
              <w:t>671</w:t>
            </w:r>
          </w:p>
        </w:tc>
        <w:tc>
          <w:tcPr>
            <w:tcW w:w="2573" w:type="dxa"/>
            <w:gridSpan w:val="2"/>
            <w:vAlign w:val="center"/>
          </w:tcPr>
          <w:p w:rsidR="004867BD" w:rsidRPr="00EA7749" w:rsidRDefault="00267120" w:rsidP="00267120">
            <w:pPr>
              <w:jc w:val="center"/>
              <w:rPr>
                <w:rFonts w:ascii="Arial" w:hAnsi="Arial" w:cs="Arial"/>
                <w:sz w:val="16"/>
                <w:szCs w:val="16"/>
              </w:rPr>
            </w:pPr>
            <w:r>
              <w:rPr>
                <w:rFonts w:ascii="Arial" w:hAnsi="Arial" w:cs="Arial"/>
                <w:sz w:val="16"/>
                <w:szCs w:val="16"/>
              </w:rPr>
              <w:t>1</w:t>
            </w:r>
            <w:r w:rsidR="000A666D">
              <w:rPr>
                <w:rFonts w:ascii="Arial" w:hAnsi="Arial" w:cs="Arial"/>
                <w:sz w:val="16"/>
                <w:szCs w:val="16"/>
              </w:rPr>
              <w:t>,</w:t>
            </w:r>
            <w:r>
              <w:rPr>
                <w:rFonts w:ascii="Arial" w:hAnsi="Arial" w:cs="Arial"/>
                <w:sz w:val="16"/>
                <w:szCs w:val="16"/>
              </w:rPr>
              <w:t>608</w:t>
            </w:r>
          </w:p>
        </w:tc>
        <w:tc>
          <w:tcPr>
            <w:tcW w:w="2340" w:type="dxa"/>
            <w:gridSpan w:val="2"/>
            <w:vAlign w:val="center"/>
          </w:tcPr>
          <w:p w:rsidR="004867BD" w:rsidRPr="00EA7749" w:rsidRDefault="00742221" w:rsidP="00267120">
            <w:pPr>
              <w:jc w:val="center"/>
              <w:rPr>
                <w:rFonts w:ascii="Arial" w:hAnsi="Arial" w:cs="Arial"/>
                <w:sz w:val="16"/>
                <w:szCs w:val="16"/>
              </w:rPr>
            </w:pPr>
            <w:r>
              <w:rPr>
                <w:rFonts w:ascii="Arial" w:hAnsi="Arial" w:cs="Arial"/>
                <w:sz w:val="16"/>
                <w:szCs w:val="16"/>
              </w:rPr>
              <w:t>1</w:t>
            </w:r>
            <w:r w:rsidR="00267120">
              <w:rPr>
                <w:rFonts w:ascii="Arial" w:hAnsi="Arial" w:cs="Arial"/>
                <w:sz w:val="16"/>
                <w:szCs w:val="16"/>
              </w:rPr>
              <w:t>29</w:t>
            </w:r>
            <w:r w:rsidR="00F43DB2">
              <w:rPr>
                <w:rFonts w:ascii="Arial" w:hAnsi="Arial" w:cs="Arial"/>
                <w:sz w:val="16"/>
                <w:szCs w:val="16"/>
              </w:rPr>
              <w:t>,</w:t>
            </w:r>
            <w:r w:rsidR="00267120">
              <w:rPr>
                <w:rFonts w:ascii="Arial" w:hAnsi="Arial" w:cs="Arial"/>
                <w:sz w:val="16"/>
                <w:szCs w:val="16"/>
              </w:rPr>
              <w:t>279</w:t>
            </w:r>
          </w:p>
        </w:tc>
      </w:tr>
      <w:tr w:rsidR="004867BD" w:rsidTr="0089650C">
        <w:trPr>
          <w:trHeight w:val="223"/>
        </w:trPr>
        <w:tc>
          <w:tcPr>
            <w:tcW w:w="3622" w:type="dxa"/>
            <w:gridSpan w:val="2"/>
            <w:vMerge w:val="restart"/>
          </w:tcPr>
          <w:p w:rsidR="004867BD" w:rsidRPr="00EA7749" w:rsidRDefault="004867BD" w:rsidP="00C7599F">
            <w:pPr>
              <w:rPr>
                <w:rFonts w:ascii="Arial" w:hAnsi="Arial" w:cs="Arial"/>
                <w:b/>
                <w:sz w:val="16"/>
                <w:szCs w:val="16"/>
              </w:rPr>
            </w:pPr>
            <w:r w:rsidRPr="00EA7749">
              <w:rPr>
                <w:rFonts w:ascii="Arial" w:hAnsi="Arial" w:cs="Arial"/>
                <w:b/>
                <w:sz w:val="16"/>
                <w:szCs w:val="16"/>
              </w:rPr>
              <w:t>Total Costs and FTE</w:t>
            </w:r>
          </w:p>
          <w:p w:rsidR="004867BD" w:rsidRPr="00EA7749" w:rsidRDefault="004867BD" w:rsidP="00C7599F">
            <w:pPr>
              <w:rPr>
                <w:rFonts w:ascii="Arial" w:hAnsi="Arial" w:cs="Arial"/>
                <w:sz w:val="14"/>
                <w:szCs w:val="14"/>
              </w:rPr>
            </w:pPr>
          </w:p>
        </w:tc>
        <w:tc>
          <w:tcPr>
            <w:tcW w:w="939"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tc>
        <w:tc>
          <w:tcPr>
            <w:tcW w:w="996"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tc>
        <w:tc>
          <w:tcPr>
            <w:tcW w:w="900" w:type="dxa"/>
            <w:shd w:val="clear" w:color="auto" w:fill="E0E0E0"/>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tc>
        <w:tc>
          <w:tcPr>
            <w:tcW w:w="1140" w:type="dxa"/>
            <w:shd w:val="clear" w:color="auto" w:fill="E0E0E0"/>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tc>
        <w:tc>
          <w:tcPr>
            <w:tcW w:w="1200"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tc>
        <w:tc>
          <w:tcPr>
            <w:tcW w:w="1320"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tc>
        <w:tc>
          <w:tcPr>
            <w:tcW w:w="1440"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tc>
        <w:tc>
          <w:tcPr>
            <w:tcW w:w="1133"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tc>
        <w:tc>
          <w:tcPr>
            <w:tcW w:w="1347"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tc>
        <w:tc>
          <w:tcPr>
            <w:tcW w:w="993"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tc>
      </w:tr>
      <w:tr w:rsidR="004867BD" w:rsidTr="0089650C">
        <w:trPr>
          <w:trHeight w:val="239"/>
        </w:trPr>
        <w:tc>
          <w:tcPr>
            <w:tcW w:w="3622" w:type="dxa"/>
            <w:gridSpan w:val="2"/>
            <w:vMerge/>
          </w:tcPr>
          <w:p w:rsidR="004867BD" w:rsidRPr="00EA7749" w:rsidRDefault="004867BD" w:rsidP="00C7599F">
            <w:pPr>
              <w:rPr>
                <w:rFonts w:ascii="Arial" w:hAnsi="Arial" w:cs="Arial"/>
                <w:sz w:val="16"/>
                <w:szCs w:val="16"/>
              </w:rPr>
            </w:pPr>
            <w:bookmarkStart w:id="1" w:name="_Hlk230137449"/>
          </w:p>
        </w:tc>
        <w:tc>
          <w:tcPr>
            <w:tcW w:w="939" w:type="dxa"/>
          </w:tcPr>
          <w:p w:rsidR="004867BD" w:rsidRPr="00EA7749" w:rsidRDefault="0089650C" w:rsidP="00EA7749">
            <w:pPr>
              <w:jc w:val="center"/>
              <w:rPr>
                <w:rFonts w:ascii="Arial" w:hAnsi="Arial" w:cs="Arial"/>
                <w:sz w:val="16"/>
                <w:szCs w:val="16"/>
              </w:rPr>
            </w:pPr>
            <w:r>
              <w:rPr>
                <w:rFonts w:ascii="Arial" w:hAnsi="Arial" w:cs="Arial"/>
                <w:sz w:val="16"/>
                <w:szCs w:val="16"/>
              </w:rPr>
              <w:t>268</w:t>
            </w:r>
          </w:p>
        </w:tc>
        <w:tc>
          <w:tcPr>
            <w:tcW w:w="996" w:type="dxa"/>
          </w:tcPr>
          <w:p w:rsidR="004867BD" w:rsidRPr="00EA7749" w:rsidRDefault="0089650C" w:rsidP="00EA7749">
            <w:pPr>
              <w:jc w:val="center"/>
              <w:rPr>
                <w:rFonts w:ascii="Arial" w:hAnsi="Arial" w:cs="Arial"/>
                <w:sz w:val="16"/>
                <w:szCs w:val="16"/>
              </w:rPr>
            </w:pPr>
            <w:r>
              <w:rPr>
                <w:rFonts w:ascii="Arial" w:hAnsi="Arial" w:cs="Arial"/>
                <w:sz w:val="16"/>
                <w:szCs w:val="16"/>
              </w:rPr>
              <w:t>99,155</w:t>
            </w:r>
          </w:p>
        </w:tc>
        <w:tc>
          <w:tcPr>
            <w:tcW w:w="900" w:type="dxa"/>
            <w:shd w:val="clear" w:color="auto" w:fill="E0E0E0"/>
          </w:tcPr>
          <w:p w:rsidR="004867BD" w:rsidRPr="00EA7749" w:rsidRDefault="00F43DB2" w:rsidP="00EA7749">
            <w:pPr>
              <w:jc w:val="center"/>
              <w:rPr>
                <w:rFonts w:ascii="Arial" w:hAnsi="Arial" w:cs="Arial"/>
                <w:sz w:val="16"/>
                <w:szCs w:val="16"/>
              </w:rPr>
            </w:pPr>
            <w:r>
              <w:rPr>
                <w:rFonts w:ascii="Arial" w:hAnsi="Arial" w:cs="Arial"/>
                <w:sz w:val="16"/>
                <w:szCs w:val="16"/>
              </w:rPr>
              <w:t>268</w:t>
            </w:r>
          </w:p>
        </w:tc>
        <w:tc>
          <w:tcPr>
            <w:tcW w:w="1140" w:type="dxa"/>
            <w:shd w:val="clear" w:color="auto" w:fill="E0E0E0"/>
          </w:tcPr>
          <w:p w:rsidR="004867BD" w:rsidRPr="00EA7749" w:rsidRDefault="00F43DB2" w:rsidP="00EA7749">
            <w:pPr>
              <w:jc w:val="center"/>
              <w:rPr>
                <w:rFonts w:ascii="Arial" w:hAnsi="Arial" w:cs="Arial"/>
                <w:sz w:val="16"/>
                <w:szCs w:val="16"/>
              </w:rPr>
            </w:pPr>
            <w:r>
              <w:rPr>
                <w:rFonts w:ascii="Arial" w:hAnsi="Arial" w:cs="Arial"/>
                <w:sz w:val="16"/>
                <w:szCs w:val="16"/>
              </w:rPr>
              <w:t>99,155</w:t>
            </w:r>
          </w:p>
        </w:tc>
        <w:tc>
          <w:tcPr>
            <w:tcW w:w="1200" w:type="dxa"/>
          </w:tcPr>
          <w:p w:rsidR="004867BD" w:rsidRPr="00EA7749" w:rsidRDefault="0089650C" w:rsidP="00EA7749">
            <w:pPr>
              <w:jc w:val="center"/>
              <w:rPr>
                <w:rFonts w:ascii="Arial" w:hAnsi="Arial" w:cs="Arial"/>
                <w:sz w:val="16"/>
                <w:szCs w:val="16"/>
              </w:rPr>
            </w:pPr>
            <w:r>
              <w:rPr>
                <w:rFonts w:ascii="Arial" w:hAnsi="Arial" w:cs="Arial"/>
                <w:sz w:val="16"/>
                <w:szCs w:val="16"/>
              </w:rPr>
              <w:t>268</w:t>
            </w:r>
          </w:p>
        </w:tc>
        <w:tc>
          <w:tcPr>
            <w:tcW w:w="1320" w:type="dxa"/>
          </w:tcPr>
          <w:p w:rsidR="004867BD" w:rsidRPr="00EA7749" w:rsidRDefault="00AB6E5D" w:rsidP="00AB6E5D">
            <w:pPr>
              <w:jc w:val="center"/>
              <w:rPr>
                <w:rFonts w:ascii="Arial" w:hAnsi="Arial" w:cs="Arial"/>
                <w:sz w:val="16"/>
                <w:szCs w:val="16"/>
              </w:rPr>
            </w:pPr>
            <w:r>
              <w:rPr>
                <w:rFonts w:ascii="Arial" w:hAnsi="Arial" w:cs="Arial"/>
                <w:sz w:val="16"/>
                <w:szCs w:val="16"/>
              </w:rPr>
              <w:t>9</w:t>
            </w:r>
            <w:r w:rsidR="0089650C">
              <w:rPr>
                <w:rFonts w:ascii="Arial" w:hAnsi="Arial" w:cs="Arial"/>
                <w:sz w:val="16"/>
                <w:szCs w:val="16"/>
              </w:rPr>
              <w:t>9,</w:t>
            </w:r>
            <w:r>
              <w:rPr>
                <w:rFonts w:ascii="Arial" w:hAnsi="Arial" w:cs="Arial"/>
                <w:sz w:val="16"/>
                <w:szCs w:val="16"/>
              </w:rPr>
              <w:t>155</w:t>
            </w:r>
          </w:p>
        </w:tc>
        <w:tc>
          <w:tcPr>
            <w:tcW w:w="1440" w:type="dxa"/>
          </w:tcPr>
          <w:p w:rsidR="004867BD" w:rsidRPr="00EA7749" w:rsidRDefault="005B7501" w:rsidP="007422DE">
            <w:pPr>
              <w:jc w:val="center"/>
              <w:rPr>
                <w:rFonts w:ascii="Arial" w:hAnsi="Arial" w:cs="Arial"/>
                <w:sz w:val="16"/>
                <w:szCs w:val="16"/>
              </w:rPr>
            </w:pPr>
            <w:r>
              <w:rPr>
                <w:rFonts w:ascii="Arial" w:hAnsi="Arial" w:cs="Arial"/>
                <w:sz w:val="16"/>
                <w:szCs w:val="16"/>
              </w:rPr>
              <w:t>(</w:t>
            </w:r>
            <w:r w:rsidR="00F43DB2">
              <w:rPr>
                <w:rFonts w:ascii="Arial" w:hAnsi="Arial" w:cs="Arial"/>
                <w:sz w:val="16"/>
                <w:szCs w:val="16"/>
              </w:rPr>
              <w:t>12</w:t>
            </w:r>
            <w:r>
              <w:rPr>
                <w:rFonts w:ascii="Arial" w:hAnsi="Arial" w:cs="Arial"/>
                <w:sz w:val="16"/>
                <w:szCs w:val="16"/>
              </w:rPr>
              <w:t>)</w:t>
            </w:r>
          </w:p>
        </w:tc>
        <w:tc>
          <w:tcPr>
            <w:tcW w:w="1133" w:type="dxa"/>
          </w:tcPr>
          <w:p w:rsidR="004867BD" w:rsidRPr="00EA7749" w:rsidRDefault="00F43DB2" w:rsidP="00AB6E5D">
            <w:pPr>
              <w:jc w:val="center"/>
              <w:rPr>
                <w:rFonts w:ascii="Arial" w:hAnsi="Arial" w:cs="Arial"/>
                <w:sz w:val="16"/>
                <w:szCs w:val="16"/>
              </w:rPr>
            </w:pPr>
            <w:r>
              <w:rPr>
                <w:rFonts w:ascii="Arial" w:hAnsi="Arial" w:cs="Arial"/>
                <w:sz w:val="16"/>
                <w:szCs w:val="16"/>
              </w:rPr>
              <w:t>(</w:t>
            </w:r>
            <w:r w:rsidR="00AB6E5D">
              <w:rPr>
                <w:rFonts w:ascii="Arial" w:hAnsi="Arial" w:cs="Arial"/>
                <w:sz w:val="16"/>
                <w:szCs w:val="16"/>
              </w:rPr>
              <w:t>239</w:t>
            </w:r>
            <w:r>
              <w:rPr>
                <w:rFonts w:ascii="Arial" w:hAnsi="Arial" w:cs="Arial"/>
                <w:sz w:val="16"/>
                <w:szCs w:val="16"/>
              </w:rPr>
              <w:t>)</w:t>
            </w:r>
          </w:p>
        </w:tc>
        <w:tc>
          <w:tcPr>
            <w:tcW w:w="1347" w:type="dxa"/>
          </w:tcPr>
          <w:p w:rsidR="004867BD" w:rsidRPr="00EA7749" w:rsidRDefault="0089650C" w:rsidP="001C4198">
            <w:pPr>
              <w:jc w:val="center"/>
              <w:rPr>
                <w:rFonts w:ascii="Arial" w:hAnsi="Arial" w:cs="Arial"/>
                <w:sz w:val="16"/>
                <w:szCs w:val="16"/>
              </w:rPr>
            </w:pPr>
            <w:r>
              <w:rPr>
                <w:rFonts w:ascii="Arial" w:hAnsi="Arial" w:cs="Arial"/>
                <w:sz w:val="16"/>
                <w:szCs w:val="16"/>
              </w:rPr>
              <w:t>2</w:t>
            </w:r>
            <w:r w:rsidR="00F43DB2">
              <w:rPr>
                <w:rFonts w:ascii="Arial" w:hAnsi="Arial" w:cs="Arial"/>
                <w:sz w:val="16"/>
                <w:szCs w:val="16"/>
              </w:rPr>
              <w:t>56</w:t>
            </w:r>
          </w:p>
        </w:tc>
        <w:tc>
          <w:tcPr>
            <w:tcW w:w="993" w:type="dxa"/>
          </w:tcPr>
          <w:p w:rsidR="004867BD" w:rsidRPr="00EA7749" w:rsidRDefault="00AB6E5D" w:rsidP="00AB6E5D">
            <w:pPr>
              <w:jc w:val="center"/>
              <w:rPr>
                <w:rFonts w:ascii="Arial" w:hAnsi="Arial" w:cs="Arial"/>
                <w:sz w:val="16"/>
                <w:szCs w:val="16"/>
              </w:rPr>
            </w:pPr>
            <w:r>
              <w:rPr>
                <w:rFonts w:ascii="Arial" w:hAnsi="Arial" w:cs="Arial"/>
                <w:sz w:val="16"/>
                <w:szCs w:val="16"/>
              </w:rPr>
              <w:t>99</w:t>
            </w:r>
            <w:r w:rsidR="00F43DB2">
              <w:rPr>
                <w:rFonts w:ascii="Arial" w:hAnsi="Arial" w:cs="Arial"/>
                <w:sz w:val="16"/>
                <w:szCs w:val="16"/>
              </w:rPr>
              <w:t>,</w:t>
            </w:r>
            <w:r>
              <w:rPr>
                <w:rFonts w:ascii="Arial" w:hAnsi="Arial" w:cs="Arial"/>
                <w:sz w:val="16"/>
                <w:szCs w:val="16"/>
              </w:rPr>
              <w:t>394</w:t>
            </w:r>
          </w:p>
        </w:tc>
      </w:tr>
      <w:bookmarkEnd w:id="1"/>
      <w:tr w:rsidR="004867BD" w:rsidTr="0089650C">
        <w:trPr>
          <w:trHeight w:val="671"/>
        </w:trPr>
        <w:tc>
          <w:tcPr>
            <w:tcW w:w="1275" w:type="dxa"/>
          </w:tcPr>
          <w:p w:rsidR="004867BD" w:rsidRPr="00EA7749" w:rsidRDefault="004867BD" w:rsidP="00C7599F">
            <w:pPr>
              <w:rPr>
                <w:rFonts w:ascii="Arial" w:hAnsi="Arial" w:cs="Arial"/>
                <w:b/>
                <w:sz w:val="16"/>
                <w:szCs w:val="16"/>
              </w:rPr>
            </w:pPr>
            <w:r w:rsidRPr="00EA7749">
              <w:rPr>
                <w:rFonts w:ascii="Arial" w:hAnsi="Arial" w:cs="Arial"/>
                <w:b/>
                <w:sz w:val="16"/>
                <w:szCs w:val="16"/>
              </w:rPr>
              <w:t>TYPE/ STRATEGIC OBJECTIVE</w:t>
            </w:r>
          </w:p>
        </w:tc>
        <w:tc>
          <w:tcPr>
            <w:tcW w:w="2347" w:type="dxa"/>
          </w:tcPr>
          <w:p w:rsidR="004867BD" w:rsidRPr="00EA7749" w:rsidRDefault="004867BD" w:rsidP="00C7599F">
            <w:pPr>
              <w:rPr>
                <w:rFonts w:ascii="Arial" w:hAnsi="Arial" w:cs="Arial"/>
                <w:b/>
                <w:sz w:val="16"/>
                <w:szCs w:val="16"/>
              </w:rPr>
            </w:pPr>
            <w:r w:rsidRPr="00EA7749">
              <w:rPr>
                <w:rFonts w:ascii="Arial" w:hAnsi="Arial" w:cs="Arial"/>
                <w:b/>
                <w:sz w:val="16"/>
                <w:szCs w:val="16"/>
              </w:rPr>
              <w:t>Performance</w:t>
            </w:r>
          </w:p>
        </w:tc>
        <w:tc>
          <w:tcPr>
            <w:tcW w:w="1935" w:type="dxa"/>
            <w:gridSpan w:val="2"/>
            <w:vAlign w:val="center"/>
          </w:tcPr>
          <w:p w:rsidR="004867BD" w:rsidRPr="00EA7749" w:rsidRDefault="00951044" w:rsidP="00EA7749">
            <w:pPr>
              <w:jc w:val="center"/>
              <w:rPr>
                <w:rFonts w:ascii="Arial" w:hAnsi="Arial" w:cs="Arial"/>
                <w:b/>
                <w:sz w:val="16"/>
                <w:szCs w:val="16"/>
              </w:rPr>
            </w:pPr>
            <w:r>
              <w:rPr>
                <w:rFonts w:ascii="Arial" w:hAnsi="Arial" w:cs="Arial"/>
                <w:b/>
                <w:sz w:val="16"/>
                <w:szCs w:val="16"/>
              </w:rPr>
              <w:t>FY 2010</w:t>
            </w:r>
          </w:p>
        </w:tc>
        <w:tc>
          <w:tcPr>
            <w:tcW w:w="2040" w:type="dxa"/>
            <w:gridSpan w:val="2"/>
            <w:shd w:val="clear" w:color="auto" w:fill="E0E0E0"/>
            <w:vAlign w:val="center"/>
          </w:tcPr>
          <w:p w:rsidR="004867BD" w:rsidRPr="00EA7749" w:rsidRDefault="00951044" w:rsidP="00EA7749">
            <w:pPr>
              <w:jc w:val="center"/>
              <w:rPr>
                <w:rFonts w:ascii="Arial" w:hAnsi="Arial" w:cs="Arial"/>
                <w:b/>
                <w:sz w:val="16"/>
                <w:szCs w:val="16"/>
              </w:rPr>
            </w:pPr>
            <w:r>
              <w:rPr>
                <w:rFonts w:ascii="Arial" w:hAnsi="Arial" w:cs="Arial"/>
                <w:b/>
                <w:sz w:val="16"/>
                <w:szCs w:val="16"/>
              </w:rPr>
              <w:t>FY 2010</w:t>
            </w:r>
          </w:p>
        </w:tc>
        <w:tc>
          <w:tcPr>
            <w:tcW w:w="2520" w:type="dxa"/>
            <w:gridSpan w:val="2"/>
            <w:vAlign w:val="center"/>
          </w:tcPr>
          <w:p w:rsidR="004867BD" w:rsidRPr="00EA7749" w:rsidRDefault="00742221" w:rsidP="002A6753">
            <w:pPr>
              <w:jc w:val="center"/>
              <w:rPr>
                <w:rFonts w:ascii="Arial" w:hAnsi="Arial" w:cs="Arial"/>
                <w:b/>
                <w:sz w:val="16"/>
                <w:szCs w:val="16"/>
              </w:rPr>
            </w:pPr>
            <w:r>
              <w:rPr>
                <w:rFonts w:ascii="Arial" w:hAnsi="Arial" w:cs="Arial"/>
                <w:b/>
                <w:sz w:val="16"/>
                <w:szCs w:val="16"/>
              </w:rPr>
              <w:t xml:space="preserve">FY </w:t>
            </w:r>
            <w:r w:rsidR="00951044">
              <w:rPr>
                <w:rFonts w:ascii="Arial" w:hAnsi="Arial" w:cs="Arial"/>
                <w:b/>
                <w:sz w:val="16"/>
                <w:szCs w:val="16"/>
              </w:rPr>
              <w:t xml:space="preserve">2011 </w:t>
            </w:r>
            <w:r w:rsidR="002A6753">
              <w:rPr>
                <w:rFonts w:ascii="Arial" w:hAnsi="Arial" w:cs="Arial"/>
                <w:b/>
                <w:sz w:val="16"/>
                <w:szCs w:val="16"/>
              </w:rPr>
              <w:t>CR</w:t>
            </w:r>
          </w:p>
        </w:tc>
        <w:tc>
          <w:tcPr>
            <w:tcW w:w="2573" w:type="dxa"/>
            <w:gridSpan w:val="2"/>
            <w:vAlign w:val="center"/>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Current S</w:t>
            </w:r>
            <w:r w:rsidR="00951044">
              <w:rPr>
                <w:rFonts w:ascii="Arial" w:hAnsi="Arial" w:cs="Arial"/>
                <w:b/>
                <w:sz w:val="16"/>
                <w:szCs w:val="16"/>
              </w:rPr>
              <w:t>ervices Adjustments and FY 2012</w:t>
            </w:r>
            <w:r w:rsidRPr="00EA7749">
              <w:rPr>
                <w:rFonts w:ascii="Arial" w:hAnsi="Arial" w:cs="Arial"/>
                <w:b/>
                <w:sz w:val="16"/>
                <w:szCs w:val="16"/>
              </w:rPr>
              <w:t xml:space="preserve"> Program Changes </w:t>
            </w:r>
          </w:p>
        </w:tc>
        <w:tc>
          <w:tcPr>
            <w:tcW w:w="2340" w:type="dxa"/>
            <w:gridSpan w:val="2"/>
            <w:vAlign w:val="center"/>
          </w:tcPr>
          <w:p w:rsidR="004867BD" w:rsidRPr="00EA7749" w:rsidRDefault="00951044" w:rsidP="00EA7749">
            <w:pPr>
              <w:jc w:val="center"/>
              <w:rPr>
                <w:rFonts w:ascii="Arial" w:hAnsi="Arial" w:cs="Arial"/>
                <w:b/>
                <w:sz w:val="16"/>
                <w:szCs w:val="16"/>
              </w:rPr>
            </w:pPr>
            <w:r>
              <w:rPr>
                <w:rFonts w:ascii="Arial" w:hAnsi="Arial" w:cs="Arial"/>
                <w:b/>
                <w:sz w:val="16"/>
                <w:szCs w:val="16"/>
              </w:rPr>
              <w:t>FY 2012</w:t>
            </w:r>
            <w:r w:rsidR="004867BD" w:rsidRPr="00EA7749">
              <w:rPr>
                <w:rFonts w:ascii="Arial" w:hAnsi="Arial" w:cs="Arial"/>
                <w:b/>
                <w:sz w:val="16"/>
                <w:szCs w:val="16"/>
              </w:rPr>
              <w:t xml:space="preserve"> Request</w:t>
            </w:r>
          </w:p>
          <w:p w:rsidR="004867BD" w:rsidRPr="00EA7749" w:rsidRDefault="004867BD" w:rsidP="00EA7749">
            <w:pPr>
              <w:jc w:val="center"/>
              <w:rPr>
                <w:rFonts w:ascii="Arial" w:hAnsi="Arial" w:cs="Arial"/>
                <w:b/>
                <w:sz w:val="16"/>
                <w:szCs w:val="16"/>
              </w:rPr>
            </w:pPr>
          </w:p>
        </w:tc>
      </w:tr>
      <w:tr w:rsidR="004867BD" w:rsidTr="0089650C">
        <w:trPr>
          <w:trHeight w:val="448"/>
        </w:trPr>
        <w:tc>
          <w:tcPr>
            <w:tcW w:w="1275" w:type="dxa"/>
          </w:tcPr>
          <w:p w:rsidR="004867BD" w:rsidRPr="00EA7749" w:rsidRDefault="004867BD" w:rsidP="00C7599F">
            <w:pPr>
              <w:rPr>
                <w:rFonts w:ascii="Arial" w:hAnsi="Arial" w:cs="Arial"/>
                <w:b/>
                <w:sz w:val="16"/>
                <w:szCs w:val="16"/>
              </w:rPr>
            </w:pPr>
            <w:r w:rsidRPr="00EA7749">
              <w:rPr>
                <w:rFonts w:ascii="Arial" w:hAnsi="Arial" w:cs="Arial"/>
                <w:b/>
                <w:sz w:val="16"/>
                <w:szCs w:val="16"/>
              </w:rPr>
              <w:t>Program Activity</w:t>
            </w:r>
          </w:p>
        </w:tc>
        <w:tc>
          <w:tcPr>
            <w:tcW w:w="2347" w:type="dxa"/>
          </w:tcPr>
          <w:p w:rsidR="004867BD" w:rsidRPr="00EA7749" w:rsidRDefault="004867BD" w:rsidP="00C7599F">
            <w:pPr>
              <w:rPr>
                <w:rFonts w:ascii="Arial" w:hAnsi="Arial" w:cs="Arial"/>
                <w:sz w:val="16"/>
                <w:szCs w:val="16"/>
              </w:rPr>
            </w:pPr>
          </w:p>
        </w:tc>
        <w:tc>
          <w:tcPr>
            <w:tcW w:w="939"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p w:rsidR="004867BD" w:rsidRPr="00EA7749" w:rsidRDefault="006F6CED" w:rsidP="00EA7749">
            <w:pPr>
              <w:jc w:val="center"/>
              <w:rPr>
                <w:rFonts w:ascii="Arial" w:hAnsi="Arial" w:cs="Arial"/>
                <w:sz w:val="16"/>
                <w:szCs w:val="16"/>
              </w:rPr>
            </w:pPr>
            <w:r>
              <w:rPr>
                <w:rFonts w:ascii="Arial" w:hAnsi="Arial" w:cs="Arial"/>
                <w:sz w:val="16"/>
                <w:szCs w:val="16"/>
              </w:rPr>
              <w:t>125</w:t>
            </w:r>
          </w:p>
        </w:tc>
        <w:tc>
          <w:tcPr>
            <w:tcW w:w="996" w:type="dxa"/>
            <w:tcBorders>
              <w:bottom w:val="nil"/>
            </w:tcBorders>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p w:rsidR="004867BD" w:rsidRPr="00EA7749" w:rsidRDefault="006F6CED" w:rsidP="00EA7749">
            <w:pPr>
              <w:jc w:val="center"/>
              <w:rPr>
                <w:rFonts w:ascii="Arial" w:hAnsi="Arial" w:cs="Arial"/>
                <w:sz w:val="16"/>
                <w:szCs w:val="16"/>
              </w:rPr>
            </w:pPr>
            <w:r>
              <w:rPr>
                <w:rFonts w:ascii="Arial" w:hAnsi="Arial" w:cs="Arial"/>
                <w:sz w:val="16"/>
                <w:szCs w:val="16"/>
              </w:rPr>
              <w:t>25,386</w:t>
            </w:r>
          </w:p>
        </w:tc>
        <w:tc>
          <w:tcPr>
            <w:tcW w:w="900" w:type="dxa"/>
            <w:tcBorders>
              <w:bottom w:val="single" w:sz="4" w:space="0" w:color="auto"/>
            </w:tcBorders>
            <w:shd w:val="clear" w:color="auto" w:fill="E0E0E0"/>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p w:rsidR="004867BD" w:rsidRPr="00EA7749" w:rsidRDefault="00F43DB2" w:rsidP="00EA7749">
            <w:pPr>
              <w:jc w:val="center"/>
              <w:rPr>
                <w:rFonts w:ascii="Arial" w:hAnsi="Arial" w:cs="Arial"/>
                <w:sz w:val="16"/>
                <w:szCs w:val="16"/>
              </w:rPr>
            </w:pPr>
            <w:r>
              <w:rPr>
                <w:rFonts w:ascii="Arial" w:hAnsi="Arial" w:cs="Arial"/>
                <w:sz w:val="16"/>
                <w:szCs w:val="16"/>
              </w:rPr>
              <w:t>125</w:t>
            </w:r>
          </w:p>
        </w:tc>
        <w:tc>
          <w:tcPr>
            <w:tcW w:w="1140" w:type="dxa"/>
            <w:tcBorders>
              <w:bottom w:val="single" w:sz="4" w:space="0" w:color="auto"/>
            </w:tcBorders>
            <w:shd w:val="clear" w:color="auto" w:fill="E0E0E0"/>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p w:rsidR="004867BD" w:rsidRPr="00EA7749" w:rsidRDefault="00F43DB2" w:rsidP="00EA7749">
            <w:pPr>
              <w:jc w:val="center"/>
              <w:rPr>
                <w:rFonts w:ascii="Arial" w:hAnsi="Arial" w:cs="Arial"/>
                <w:sz w:val="16"/>
                <w:szCs w:val="16"/>
              </w:rPr>
            </w:pPr>
            <w:r>
              <w:rPr>
                <w:rFonts w:ascii="Arial" w:hAnsi="Arial" w:cs="Arial"/>
                <w:sz w:val="16"/>
                <w:szCs w:val="16"/>
              </w:rPr>
              <w:t>25,386</w:t>
            </w:r>
          </w:p>
        </w:tc>
        <w:tc>
          <w:tcPr>
            <w:tcW w:w="1200"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p w:rsidR="004867BD" w:rsidRPr="00EA7749" w:rsidRDefault="006F6CED" w:rsidP="00AB6E5D">
            <w:pPr>
              <w:jc w:val="center"/>
              <w:rPr>
                <w:rFonts w:ascii="Arial" w:hAnsi="Arial" w:cs="Arial"/>
                <w:sz w:val="16"/>
                <w:szCs w:val="16"/>
              </w:rPr>
            </w:pPr>
            <w:r>
              <w:rPr>
                <w:rFonts w:ascii="Arial" w:hAnsi="Arial" w:cs="Arial"/>
                <w:sz w:val="16"/>
                <w:szCs w:val="16"/>
              </w:rPr>
              <w:t>12</w:t>
            </w:r>
            <w:r w:rsidR="00AB6E5D">
              <w:rPr>
                <w:rFonts w:ascii="Arial" w:hAnsi="Arial" w:cs="Arial"/>
                <w:sz w:val="16"/>
                <w:szCs w:val="16"/>
              </w:rPr>
              <w:t>5</w:t>
            </w:r>
          </w:p>
        </w:tc>
        <w:tc>
          <w:tcPr>
            <w:tcW w:w="1320"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p w:rsidR="004867BD" w:rsidRPr="00EA7749" w:rsidRDefault="00AB6E5D" w:rsidP="00AB6E5D">
            <w:pPr>
              <w:jc w:val="center"/>
              <w:rPr>
                <w:rFonts w:ascii="Arial" w:hAnsi="Arial" w:cs="Arial"/>
                <w:sz w:val="16"/>
                <w:szCs w:val="16"/>
              </w:rPr>
            </w:pPr>
            <w:r>
              <w:rPr>
                <w:rFonts w:ascii="Arial" w:hAnsi="Arial" w:cs="Arial"/>
                <w:sz w:val="16"/>
                <w:szCs w:val="16"/>
              </w:rPr>
              <w:t>25,386</w:t>
            </w:r>
          </w:p>
        </w:tc>
        <w:tc>
          <w:tcPr>
            <w:tcW w:w="1440" w:type="dxa"/>
          </w:tcPr>
          <w:p w:rsidR="004867BD" w:rsidRPr="00EA7749" w:rsidRDefault="004867BD" w:rsidP="00EA7749">
            <w:pPr>
              <w:jc w:val="center"/>
              <w:rPr>
                <w:rFonts w:ascii="Arial" w:hAnsi="Arial" w:cs="Arial"/>
                <w:sz w:val="16"/>
                <w:szCs w:val="16"/>
              </w:rPr>
            </w:pPr>
            <w:r w:rsidRPr="00EA7749">
              <w:rPr>
                <w:rFonts w:ascii="Arial" w:hAnsi="Arial" w:cs="Arial"/>
                <w:b/>
                <w:sz w:val="16"/>
                <w:szCs w:val="16"/>
              </w:rPr>
              <w:t>FTE</w:t>
            </w:r>
          </w:p>
          <w:p w:rsidR="004867BD" w:rsidRPr="00EA7749" w:rsidRDefault="00F43DB2" w:rsidP="00AB6E5D">
            <w:pPr>
              <w:jc w:val="center"/>
              <w:rPr>
                <w:rFonts w:ascii="Arial" w:hAnsi="Arial" w:cs="Arial"/>
                <w:sz w:val="16"/>
                <w:szCs w:val="16"/>
              </w:rPr>
            </w:pPr>
            <w:r>
              <w:rPr>
                <w:rFonts w:ascii="Arial" w:hAnsi="Arial" w:cs="Arial"/>
                <w:sz w:val="16"/>
                <w:szCs w:val="16"/>
              </w:rPr>
              <w:t>(1</w:t>
            </w:r>
            <w:r w:rsidR="00AB6E5D">
              <w:rPr>
                <w:rFonts w:ascii="Arial" w:hAnsi="Arial" w:cs="Arial"/>
                <w:sz w:val="16"/>
                <w:szCs w:val="16"/>
              </w:rPr>
              <w:t>0</w:t>
            </w:r>
            <w:r>
              <w:rPr>
                <w:rFonts w:ascii="Arial" w:hAnsi="Arial" w:cs="Arial"/>
                <w:sz w:val="16"/>
                <w:szCs w:val="16"/>
              </w:rPr>
              <w:t>)</w:t>
            </w:r>
          </w:p>
        </w:tc>
        <w:tc>
          <w:tcPr>
            <w:tcW w:w="1133"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p w:rsidR="004867BD" w:rsidRPr="00EA7749" w:rsidRDefault="00F43DB2" w:rsidP="00AB6E5D">
            <w:pPr>
              <w:jc w:val="center"/>
              <w:rPr>
                <w:rFonts w:ascii="Arial" w:hAnsi="Arial" w:cs="Arial"/>
                <w:sz w:val="16"/>
                <w:szCs w:val="16"/>
              </w:rPr>
            </w:pPr>
            <w:r>
              <w:rPr>
                <w:rFonts w:ascii="Arial" w:hAnsi="Arial" w:cs="Arial"/>
                <w:sz w:val="16"/>
                <w:szCs w:val="16"/>
              </w:rPr>
              <w:t>(</w:t>
            </w:r>
            <w:r w:rsidR="00AB6E5D">
              <w:rPr>
                <w:rFonts w:ascii="Arial" w:hAnsi="Arial" w:cs="Arial"/>
                <w:sz w:val="16"/>
                <w:szCs w:val="16"/>
              </w:rPr>
              <w:t>53</w:t>
            </w:r>
            <w:r>
              <w:rPr>
                <w:rFonts w:ascii="Arial" w:hAnsi="Arial" w:cs="Arial"/>
                <w:sz w:val="16"/>
                <w:szCs w:val="16"/>
              </w:rPr>
              <w:t>)</w:t>
            </w:r>
          </w:p>
        </w:tc>
        <w:tc>
          <w:tcPr>
            <w:tcW w:w="1347"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FTE</w:t>
            </w:r>
          </w:p>
          <w:p w:rsidR="004867BD" w:rsidRPr="00EA7749" w:rsidRDefault="006F6CED" w:rsidP="001C4198">
            <w:pPr>
              <w:jc w:val="center"/>
              <w:rPr>
                <w:rFonts w:ascii="Arial" w:hAnsi="Arial" w:cs="Arial"/>
                <w:sz w:val="16"/>
                <w:szCs w:val="16"/>
              </w:rPr>
            </w:pPr>
            <w:r>
              <w:rPr>
                <w:rFonts w:ascii="Arial" w:hAnsi="Arial" w:cs="Arial"/>
                <w:sz w:val="16"/>
                <w:szCs w:val="16"/>
              </w:rPr>
              <w:t>1</w:t>
            </w:r>
            <w:r w:rsidR="00F43DB2">
              <w:rPr>
                <w:rFonts w:ascii="Arial" w:hAnsi="Arial" w:cs="Arial"/>
                <w:sz w:val="16"/>
                <w:szCs w:val="16"/>
              </w:rPr>
              <w:t>15</w:t>
            </w:r>
          </w:p>
        </w:tc>
        <w:tc>
          <w:tcPr>
            <w:tcW w:w="993" w:type="dxa"/>
          </w:tcPr>
          <w:p w:rsidR="004867BD" w:rsidRPr="00EA7749" w:rsidRDefault="004867BD" w:rsidP="00EA7749">
            <w:pPr>
              <w:jc w:val="center"/>
              <w:rPr>
                <w:rFonts w:ascii="Arial" w:hAnsi="Arial" w:cs="Arial"/>
                <w:b/>
                <w:sz w:val="16"/>
                <w:szCs w:val="16"/>
              </w:rPr>
            </w:pPr>
            <w:r w:rsidRPr="00EA7749">
              <w:rPr>
                <w:rFonts w:ascii="Arial" w:hAnsi="Arial" w:cs="Arial"/>
                <w:b/>
                <w:sz w:val="16"/>
                <w:szCs w:val="16"/>
              </w:rPr>
              <w:t>$000</w:t>
            </w:r>
          </w:p>
          <w:p w:rsidR="004867BD" w:rsidRPr="00EA7749" w:rsidRDefault="00F43DB2" w:rsidP="00AB6E5D">
            <w:pPr>
              <w:jc w:val="center"/>
              <w:rPr>
                <w:rFonts w:ascii="Arial" w:hAnsi="Arial" w:cs="Arial"/>
                <w:sz w:val="16"/>
                <w:szCs w:val="16"/>
              </w:rPr>
            </w:pPr>
            <w:r>
              <w:rPr>
                <w:rFonts w:ascii="Arial" w:hAnsi="Arial" w:cs="Arial"/>
                <w:sz w:val="16"/>
                <w:szCs w:val="16"/>
              </w:rPr>
              <w:t>25,</w:t>
            </w:r>
            <w:r w:rsidR="00AB6E5D">
              <w:rPr>
                <w:rFonts w:ascii="Arial" w:hAnsi="Arial" w:cs="Arial"/>
                <w:sz w:val="16"/>
                <w:szCs w:val="16"/>
              </w:rPr>
              <w:t>439</w:t>
            </w:r>
          </w:p>
        </w:tc>
      </w:tr>
      <w:tr w:rsidR="004867BD" w:rsidTr="0089650C">
        <w:trPr>
          <w:trHeight w:val="448"/>
        </w:trPr>
        <w:tc>
          <w:tcPr>
            <w:tcW w:w="1275" w:type="dxa"/>
          </w:tcPr>
          <w:p w:rsidR="004867BD" w:rsidRPr="00EA7749" w:rsidRDefault="004867BD" w:rsidP="00C7599F">
            <w:pPr>
              <w:rPr>
                <w:rFonts w:ascii="Arial" w:hAnsi="Arial" w:cs="Arial"/>
                <w:b/>
                <w:sz w:val="16"/>
                <w:szCs w:val="16"/>
              </w:rPr>
            </w:pPr>
            <w:r w:rsidRPr="00EA7749">
              <w:rPr>
                <w:rFonts w:ascii="Arial" w:hAnsi="Arial" w:cs="Arial"/>
                <w:b/>
                <w:sz w:val="16"/>
                <w:szCs w:val="16"/>
              </w:rPr>
              <w:t>Performance Measure</w:t>
            </w:r>
          </w:p>
        </w:tc>
        <w:tc>
          <w:tcPr>
            <w:tcW w:w="2347" w:type="dxa"/>
          </w:tcPr>
          <w:p w:rsidR="004867BD" w:rsidRPr="00EA7749" w:rsidRDefault="004867BD" w:rsidP="00C7599F">
            <w:pPr>
              <w:rPr>
                <w:rFonts w:ascii="Arial" w:hAnsi="Arial" w:cs="Arial"/>
                <w:b/>
                <w:sz w:val="16"/>
                <w:szCs w:val="16"/>
              </w:rPr>
            </w:pPr>
            <w:r w:rsidRPr="00EA7749">
              <w:rPr>
                <w:rFonts w:ascii="Arial" w:hAnsi="Arial" w:cs="Arial"/>
                <w:b/>
                <w:sz w:val="16"/>
                <w:szCs w:val="16"/>
              </w:rPr>
              <w:t>3. Number of Environmental Impact Studies/Environmental Assessments completed</w:t>
            </w:r>
          </w:p>
        </w:tc>
        <w:tc>
          <w:tcPr>
            <w:tcW w:w="1935" w:type="dxa"/>
            <w:gridSpan w:val="2"/>
          </w:tcPr>
          <w:p w:rsidR="004867BD" w:rsidRPr="00EA7749" w:rsidRDefault="00DB72B3" w:rsidP="00DB72B3">
            <w:pPr>
              <w:jc w:val="center"/>
              <w:rPr>
                <w:rFonts w:ascii="Arial" w:hAnsi="Arial" w:cs="Arial"/>
                <w:sz w:val="16"/>
                <w:szCs w:val="16"/>
              </w:rPr>
            </w:pPr>
            <w:r>
              <w:rPr>
                <w:rFonts w:ascii="Arial" w:hAnsi="Arial" w:cs="Arial"/>
                <w:sz w:val="16"/>
                <w:szCs w:val="16"/>
              </w:rPr>
              <w:t>2</w:t>
            </w:r>
          </w:p>
        </w:tc>
        <w:tc>
          <w:tcPr>
            <w:tcW w:w="2040" w:type="dxa"/>
            <w:gridSpan w:val="2"/>
            <w:tcBorders>
              <w:bottom w:val="single" w:sz="4" w:space="0" w:color="auto"/>
            </w:tcBorders>
            <w:shd w:val="clear" w:color="auto" w:fill="E0E0E0"/>
          </w:tcPr>
          <w:p w:rsidR="004867BD" w:rsidRPr="00EA7749" w:rsidRDefault="007E3D08" w:rsidP="007E3D08">
            <w:pPr>
              <w:jc w:val="center"/>
              <w:rPr>
                <w:rFonts w:ascii="Arial" w:hAnsi="Arial" w:cs="Arial"/>
                <w:sz w:val="16"/>
                <w:szCs w:val="16"/>
              </w:rPr>
            </w:pPr>
            <w:r>
              <w:rPr>
                <w:rFonts w:ascii="Arial" w:hAnsi="Arial" w:cs="Arial"/>
                <w:sz w:val="16"/>
                <w:szCs w:val="16"/>
              </w:rPr>
              <w:t>2</w:t>
            </w:r>
          </w:p>
        </w:tc>
        <w:tc>
          <w:tcPr>
            <w:tcW w:w="2520" w:type="dxa"/>
            <w:gridSpan w:val="2"/>
          </w:tcPr>
          <w:p w:rsidR="004867BD" w:rsidRPr="00EA7749" w:rsidRDefault="007E3D08" w:rsidP="007E3D08">
            <w:pPr>
              <w:jc w:val="center"/>
              <w:rPr>
                <w:rFonts w:ascii="Arial" w:hAnsi="Arial" w:cs="Arial"/>
                <w:sz w:val="16"/>
                <w:szCs w:val="16"/>
              </w:rPr>
            </w:pPr>
            <w:r>
              <w:rPr>
                <w:rFonts w:ascii="Arial" w:hAnsi="Arial" w:cs="Arial"/>
                <w:sz w:val="16"/>
                <w:szCs w:val="16"/>
              </w:rPr>
              <w:t>1</w:t>
            </w:r>
          </w:p>
        </w:tc>
        <w:tc>
          <w:tcPr>
            <w:tcW w:w="2573" w:type="dxa"/>
            <w:gridSpan w:val="2"/>
          </w:tcPr>
          <w:p w:rsidR="004867BD" w:rsidRPr="00EA7749" w:rsidRDefault="007E3D08" w:rsidP="00EA7749">
            <w:pPr>
              <w:jc w:val="center"/>
              <w:rPr>
                <w:rFonts w:ascii="Arial" w:hAnsi="Arial" w:cs="Arial"/>
                <w:sz w:val="16"/>
                <w:szCs w:val="16"/>
              </w:rPr>
            </w:pPr>
            <w:r>
              <w:rPr>
                <w:rFonts w:ascii="Arial" w:hAnsi="Arial" w:cs="Arial"/>
                <w:sz w:val="16"/>
                <w:szCs w:val="16"/>
              </w:rPr>
              <w:t>4</w:t>
            </w:r>
          </w:p>
        </w:tc>
        <w:tc>
          <w:tcPr>
            <w:tcW w:w="2340" w:type="dxa"/>
            <w:gridSpan w:val="2"/>
          </w:tcPr>
          <w:p w:rsidR="004867BD" w:rsidRPr="00EA7749" w:rsidRDefault="00F43DB2" w:rsidP="00A01554">
            <w:pPr>
              <w:jc w:val="center"/>
              <w:rPr>
                <w:rFonts w:ascii="Arial" w:hAnsi="Arial" w:cs="Arial"/>
                <w:sz w:val="16"/>
                <w:szCs w:val="16"/>
              </w:rPr>
            </w:pPr>
            <w:r>
              <w:rPr>
                <w:rFonts w:ascii="Arial" w:hAnsi="Arial" w:cs="Arial"/>
                <w:sz w:val="16"/>
                <w:szCs w:val="16"/>
              </w:rPr>
              <w:t>5</w:t>
            </w:r>
          </w:p>
        </w:tc>
      </w:tr>
      <w:tr w:rsidR="004867BD" w:rsidTr="0089650C">
        <w:trPr>
          <w:trHeight w:val="448"/>
        </w:trPr>
        <w:tc>
          <w:tcPr>
            <w:tcW w:w="1275" w:type="dxa"/>
          </w:tcPr>
          <w:p w:rsidR="004867BD" w:rsidRPr="00EA7749" w:rsidRDefault="004867BD" w:rsidP="00C7599F">
            <w:pPr>
              <w:rPr>
                <w:rFonts w:ascii="Arial" w:hAnsi="Arial" w:cs="Arial"/>
                <w:b/>
                <w:sz w:val="16"/>
                <w:szCs w:val="16"/>
              </w:rPr>
            </w:pPr>
            <w:r w:rsidRPr="00EA7749">
              <w:rPr>
                <w:rFonts w:ascii="Arial" w:hAnsi="Arial" w:cs="Arial"/>
                <w:b/>
                <w:sz w:val="16"/>
                <w:szCs w:val="16"/>
              </w:rPr>
              <w:t>Performance</w:t>
            </w:r>
          </w:p>
          <w:p w:rsidR="004867BD" w:rsidRPr="00EA7749" w:rsidRDefault="004867BD" w:rsidP="00C7599F">
            <w:pPr>
              <w:rPr>
                <w:rFonts w:ascii="Arial" w:hAnsi="Arial" w:cs="Arial"/>
                <w:b/>
                <w:sz w:val="16"/>
                <w:szCs w:val="16"/>
              </w:rPr>
            </w:pPr>
            <w:r w:rsidRPr="00EA7749">
              <w:rPr>
                <w:rFonts w:ascii="Arial" w:hAnsi="Arial" w:cs="Arial"/>
                <w:b/>
                <w:sz w:val="16"/>
                <w:szCs w:val="16"/>
              </w:rPr>
              <w:t>Measure</w:t>
            </w:r>
          </w:p>
        </w:tc>
        <w:tc>
          <w:tcPr>
            <w:tcW w:w="2347" w:type="dxa"/>
          </w:tcPr>
          <w:p w:rsidR="004867BD" w:rsidRPr="00EA7749" w:rsidRDefault="004867BD" w:rsidP="00C7599F">
            <w:pPr>
              <w:rPr>
                <w:rFonts w:ascii="Arial" w:hAnsi="Arial" w:cs="Arial"/>
                <w:b/>
                <w:sz w:val="16"/>
                <w:szCs w:val="16"/>
              </w:rPr>
            </w:pPr>
            <w:r w:rsidRPr="00EA7749">
              <w:rPr>
                <w:rFonts w:ascii="Arial" w:hAnsi="Arial" w:cs="Arial"/>
                <w:b/>
                <w:sz w:val="16"/>
                <w:szCs w:val="16"/>
              </w:rPr>
              <w:t>4. Number of major construction awards</w:t>
            </w:r>
          </w:p>
        </w:tc>
        <w:tc>
          <w:tcPr>
            <w:tcW w:w="1935" w:type="dxa"/>
            <w:gridSpan w:val="2"/>
          </w:tcPr>
          <w:p w:rsidR="004867BD" w:rsidRPr="00EA7749" w:rsidRDefault="00D90718" w:rsidP="00EA7749">
            <w:pPr>
              <w:jc w:val="center"/>
              <w:rPr>
                <w:rFonts w:ascii="Arial" w:hAnsi="Arial" w:cs="Arial"/>
                <w:sz w:val="16"/>
                <w:szCs w:val="16"/>
              </w:rPr>
            </w:pPr>
            <w:r>
              <w:rPr>
                <w:rFonts w:ascii="Arial" w:hAnsi="Arial" w:cs="Arial"/>
                <w:sz w:val="16"/>
                <w:szCs w:val="16"/>
              </w:rPr>
              <w:t>0</w:t>
            </w:r>
          </w:p>
        </w:tc>
        <w:tc>
          <w:tcPr>
            <w:tcW w:w="2040" w:type="dxa"/>
            <w:gridSpan w:val="2"/>
            <w:tcBorders>
              <w:bottom w:val="single" w:sz="4" w:space="0" w:color="auto"/>
            </w:tcBorders>
            <w:shd w:val="clear" w:color="auto" w:fill="E0E0E0"/>
          </w:tcPr>
          <w:p w:rsidR="004867BD" w:rsidRPr="00EA7749" w:rsidRDefault="00641AC0" w:rsidP="00EA7749">
            <w:pPr>
              <w:jc w:val="center"/>
              <w:rPr>
                <w:rFonts w:ascii="Arial" w:hAnsi="Arial" w:cs="Arial"/>
                <w:sz w:val="16"/>
                <w:szCs w:val="16"/>
              </w:rPr>
            </w:pPr>
            <w:r>
              <w:rPr>
                <w:rFonts w:ascii="Arial" w:hAnsi="Arial" w:cs="Arial"/>
                <w:sz w:val="16"/>
                <w:szCs w:val="16"/>
              </w:rPr>
              <w:t>0</w:t>
            </w:r>
          </w:p>
        </w:tc>
        <w:tc>
          <w:tcPr>
            <w:tcW w:w="2520" w:type="dxa"/>
            <w:gridSpan w:val="2"/>
          </w:tcPr>
          <w:p w:rsidR="004867BD" w:rsidRPr="00EA7749" w:rsidRDefault="00641AC0" w:rsidP="00EA7749">
            <w:pPr>
              <w:jc w:val="center"/>
              <w:rPr>
                <w:rFonts w:ascii="Arial" w:hAnsi="Arial" w:cs="Arial"/>
                <w:sz w:val="16"/>
                <w:szCs w:val="16"/>
              </w:rPr>
            </w:pPr>
            <w:r>
              <w:rPr>
                <w:rFonts w:ascii="Arial" w:hAnsi="Arial" w:cs="Arial"/>
                <w:sz w:val="16"/>
                <w:szCs w:val="16"/>
              </w:rPr>
              <w:t>0</w:t>
            </w:r>
          </w:p>
        </w:tc>
        <w:tc>
          <w:tcPr>
            <w:tcW w:w="2573" w:type="dxa"/>
            <w:gridSpan w:val="2"/>
          </w:tcPr>
          <w:p w:rsidR="004867BD" w:rsidRPr="00EA7749" w:rsidRDefault="00641AC0" w:rsidP="00EA7749">
            <w:pPr>
              <w:jc w:val="center"/>
              <w:rPr>
                <w:rFonts w:ascii="Arial" w:hAnsi="Arial" w:cs="Arial"/>
                <w:sz w:val="16"/>
                <w:szCs w:val="16"/>
              </w:rPr>
            </w:pPr>
            <w:r>
              <w:rPr>
                <w:rFonts w:ascii="Arial" w:hAnsi="Arial" w:cs="Arial"/>
                <w:sz w:val="16"/>
                <w:szCs w:val="16"/>
              </w:rPr>
              <w:t>0</w:t>
            </w:r>
          </w:p>
        </w:tc>
        <w:tc>
          <w:tcPr>
            <w:tcW w:w="2340" w:type="dxa"/>
            <w:gridSpan w:val="2"/>
          </w:tcPr>
          <w:p w:rsidR="004867BD" w:rsidRPr="00EA7749" w:rsidRDefault="00641AC0" w:rsidP="00EA7749">
            <w:pPr>
              <w:jc w:val="center"/>
              <w:rPr>
                <w:rFonts w:ascii="Arial" w:hAnsi="Arial" w:cs="Arial"/>
                <w:sz w:val="16"/>
                <w:szCs w:val="16"/>
              </w:rPr>
            </w:pPr>
            <w:r>
              <w:rPr>
                <w:rFonts w:ascii="Arial" w:hAnsi="Arial" w:cs="Arial"/>
                <w:sz w:val="16"/>
                <w:szCs w:val="16"/>
              </w:rPr>
              <w:t>0</w:t>
            </w:r>
          </w:p>
        </w:tc>
      </w:tr>
      <w:tr w:rsidR="004867BD" w:rsidTr="0089650C">
        <w:trPr>
          <w:trHeight w:val="448"/>
        </w:trPr>
        <w:tc>
          <w:tcPr>
            <w:tcW w:w="1275" w:type="dxa"/>
          </w:tcPr>
          <w:p w:rsidR="004867BD" w:rsidRPr="00EA7749" w:rsidRDefault="004867BD" w:rsidP="00C7599F">
            <w:pPr>
              <w:rPr>
                <w:rFonts w:ascii="Arial" w:hAnsi="Arial" w:cs="Arial"/>
                <w:b/>
                <w:sz w:val="16"/>
                <w:szCs w:val="16"/>
              </w:rPr>
            </w:pPr>
            <w:r w:rsidRPr="00EA7749">
              <w:rPr>
                <w:rFonts w:ascii="Arial" w:hAnsi="Arial" w:cs="Arial"/>
                <w:b/>
                <w:sz w:val="16"/>
                <w:szCs w:val="16"/>
              </w:rPr>
              <w:t>OUTCOME</w:t>
            </w:r>
          </w:p>
        </w:tc>
        <w:tc>
          <w:tcPr>
            <w:tcW w:w="2347" w:type="dxa"/>
          </w:tcPr>
          <w:p w:rsidR="004867BD" w:rsidRPr="00EA7749" w:rsidRDefault="004867BD" w:rsidP="00C7599F">
            <w:pPr>
              <w:rPr>
                <w:rFonts w:ascii="Arial" w:hAnsi="Arial" w:cs="Arial"/>
                <w:b/>
                <w:sz w:val="16"/>
                <w:szCs w:val="16"/>
              </w:rPr>
            </w:pPr>
            <w:r w:rsidRPr="00EA7749">
              <w:rPr>
                <w:rFonts w:ascii="Arial" w:hAnsi="Arial" w:cs="Arial"/>
                <w:b/>
                <w:sz w:val="16"/>
                <w:szCs w:val="16"/>
              </w:rPr>
              <w:t>5. Number of facilities completed</w:t>
            </w:r>
          </w:p>
        </w:tc>
        <w:tc>
          <w:tcPr>
            <w:tcW w:w="1935" w:type="dxa"/>
            <w:gridSpan w:val="2"/>
          </w:tcPr>
          <w:p w:rsidR="004867BD" w:rsidRPr="00EA7749" w:rsidRDefault="00D90718" w:rsidP="00EA7749">
            <w:pPr>
              <w:jc w:val="center"/>
              <w:rPr>
                <w:rFonts w:ascii="Arial" w:hAnsi="Arial" w:cs="Arial"/>
                <w:sz w:val="16"/>
                <w:szCs w:val="16"/>
              </w:rPr>
            </w:pPr>
            <w:r>
              <w:rPr>
                <w:rFonts w:ascii="Arial" w:hAnsi="Arial" w:cs="Arial"/>
                <w:sz w:val="16"/>
                <w:szCs w:val="16"/>
              </w:rPr>
              <w:t>3</w:t>
            </w:r>
          </w:p>
        </w:tc>
        <w:tc>
          <w:tcPr>
            <w:tcW w:w="2040" w:type="dxa"/>
            <w:gridSpan w:val="2"/>
            <w:tcBorders>
              <w:bottom w:val="single" w:sz="4" w:space="0" w:color="auto"/>
            </w:tcBorders>
            <w:shd w:val="clear" w:color="auto" w:fill="E0E0E0"/>
          </w:tcPr>
          <w:p w:rsidR="004867BD" w:rsidRPr="00EA7749" w:rsidRDefault="00641AC0" w:rsidP="00EA7749">
            <w:pPr>
              <w:jc w:val="center"/>
              <w:rPr>
                <w:rFonts w:ascii="Arial" w:hAnsi="Arial" w:cs="Arial"/>
                <w:sz w:val="16"/>
                <w:szCs w:val="16"/>
              </w:rPr>
            </w:pPr>
            <w:r>
              <w:rPr>
                <w:rFonts w:ascii="Arial" w:hAnsi="Arial" w:cs="Arial"/>
                <w:sz w:val="16"/>
                <w:szCs w:val="16"/>
              </w:rPr>
              <w:t>3</w:t>
            </w:r>
          </w:p>
        </w:tc>
        <w:tc>
          <w:tcPr>
            <w:tcW w:w="2520" w:type="dxa"/>
            <w:gridSpan w:val="2"/>
          </w:tcPr>
          <w:p w:rsidR="004867BD" w:rsidRPr="00EA7749" w:rsidRDefault="00742221" w:rsidP="00C23503">
            <w:pPr>
              <w:jc w:val="center"/>
              <w:rPr>
                <w:rFonts w:ascii="Arial" w:hAnsi="Arial" w:cs="Arial"/>
                <w:sz w:val="16"/>
                <w:szCs w:val="16"/>
              </w:rPr>
            </w:pPr>
            <w:r>
              <w:rPr>
                <w:rFonts w:ascii="Arial" w:hAnsi="Arial" w:cs="Arial"/>
                <w:sz w:val="16"/>
                <w:szCs w:val="16"/>
              </w:rPr>
              <w:t>1</w:t>
            </w:r>
          </w:p>
        </w:tc>
        <w:tc>
          <w:tcPr>
            <w:tcW w:w="2573" w:type="dxa"/>
            <w:gridSpan w:val="2"/>
          </w:tcPr>
          <w:p w:rsidR="004867BD" w:rsidRPr="00EA7749" w:rsidRDefault="008C5BE7" w:rsidP="00EA7749">
            <w:pPr>
              <w:jc w:val="center"/>
              <w:rPr>
                <w:rFonts w:ascii="Arial" w:hAnsi="Arial" w:cs="Arial"/>
                <w:sz w:val="16"/>
                <w:szCs w:val="16"/>
              </w:rPr>
            </w:pPr>
            <w:r>
              <w:rPr>
                <w:rFonts w:ascii="Arial" w:hAnsi="Arial" w:cs="Arial"/>
                <w:sz w:val="16"/>
                <w:szCs w:val="16"/>
              </w:rPr>
              <w:t>(1)</w:t>
            </w:r>
          </w:p>
        </w:tc>
        <w:tc>
          <w:tcPr>
            <w:tcW w:w="2340" w:type="dxa"/>
            <w:gridSpan w:val="2"/>
          </w:tcPr>
          <w:p w:rsidR="004867BD" w:rsidRPr="00EA7749" w:rsidRDefault="008C5BE7" w:rsidP="00C23503">
            <w:pPr>
              <w:jc w:val="center"/>
              <w:rPr>
                <w:rFonts w:ascii="Arial" w:hAnsi="Arial" w:cs="Arial"/>
                <w:sz w:val="16"/>
                <w:szCs w:val="16"/>
              </w:rPr>
            </w:pPr>
            <w:r>
              <w:rPr>
                <w:rFonts w:ascii="Arial" w:hAnsi="Arial" w:cs="Arial"/>
                <w:sz w:val="16"/>
                <w:szCs w:val="16"/>
              </w:rPr>
              <w:t>0</w:t>
            </w:r>
          </w:p>
        </w:tc>
      </w:tr>
      <w:tr w:rsidR="004867BD" w:rsidTr="0089650C">
        <w:trPr>
          <w:trHeight w:val="448"/>
        </w:trPr>
        <w:tc>
          <w:tcPr>
            <w:tcW w:w="1275" w:type="dxa"/>
          </w:tcPr>
          <w:p w:rsidR="004867BD" w:rsidRPr="00EA7749" w:rsidRDefault="004867BD" w:rsidP="00C7599F">
            <w:pPr>
              <w:rPr>
                <w:rFonts w:ascii="Arial" w:hAnsi="Arial" w:cs="Arial"/>
                <w:b/>
                <w:sz w:val="16"/>
                <w:szCs w:val="16"/>
              </w:rPr>
            </w:pPr>
            <w:r w:rsidRPr="00EA7749">
              <w:rPr>
                <w:rFonts w:ascii="Arial" w:hAnsi="Arial" w:cs="Arial"/>
                <w:b/>
                <w:sz w:val="16"/>
                <w:szCs w:val="16"/>
              </w:rPr>
              <w:t>OUTCOME</w:t>
            </w:r>
          </w:p>
        </w:tc>
        <w:tc>
          <w:tcPr>
            <w:tcW w:w="2347" w:type="dxa"/>
          </w:tcPr>
          <w:p w:rsidR="004867BD" w:rsidRPr="00EA7749" w:rsidRDefault="004867BD" w:rsidP="00C7599F">
            <w:pPr>
              <w:rPr>
                <w:rFonts w:ascii="Arial" w:hAnsi="Arial" w:cs="Arial"/>
                <w:b/>
                <w:sz w:val="16"/>
                <w:szCs w:val="16"/>
              </w:rPr>
            </w:pPr>
            <w:r w:rsidRPr="00EA7749">
              <w:rPr>
                <w:rFonts w:ascii="Arial" w:hAnsi="Arial" w:cs="Arial"/>
                <w:b/>
                <w:sz w:val="16"/>
                <w:szCs w:val="16"/>
              </w:rPr>
              <w:t>6. System-wide crowding level *</w:t>
            </w:r>
          </w:p>
        </w:tc>
        <w:tc>
          <w:tcPr>
            <w:tcW w:w="1935" w:type="dxa"/>
            <w:gridSpan w:val="2"/>
          </w:tcPr>
          <w:p w:rsidR="004867BD" w:rsidRPr="00EA7749" w:rsidRDefault="00D90718" w:rsidP="00EA7749">
            <w:pPr>
              <w:jc w:val="center"/>
              <w:rPr>
                <w:rFonts w:ascii="Arial" w:hAnsi="Arial" w:cs="Arial"/>
                <w:sz w:val="16"/>
                <w:szCs w:val="16"/>
              </w:rPr>
            </w:pPr>
            <w:r>
              <w:rPr>
                <w:rFonts w:ascii="Arial" w:hAnsi="Arial" w:cs="Arial"/>
                <w:sz w:val="16"/>
                <w:szCs w:val="16"/>
              </w:rPr>
              <w:t>40%</w:t>
            </w:r>
          </w:p>
        </w:tc>
        <w:tc>
          <w:tcPr>
            <w:tcW w:w="2040" w:type="dxa"/>
            <w:gridSpan w:val="2"/>
            <w:tcBorders>
              <w:bottom w:val="single" w:sz="4" w:space="0" w:color="auto"/>
            </w:tcBorders>
            <w:shd w:val="clear" w:color="auto" w:fill="E0E0E0"/>
          </w:tcPr>
          <w:p w:rsidR="004867BD" w:rsidRPr="00EA7749" w:rsidRDefault="00F43DB2" w:rsidP="00EA7749">
            <w:pPr>
              <w:jc w:val="center"/>
              <w:rPr>
                <w:rFonts w:ascii="Arial" w:hAnsi="Arial" w:cs="Arial"/>
                <w:sz w:val="16"/>
                <w:szCs w:val="16"/>
              </w:rPr>
            </w:pPr>
            <w:r>
              <w:rPr>
                <w:rFonts w:ascii="Arial" w:hAnsi="Arial" w:cs="Arial"/>
                <w:sz w:val="16"/>
                <w:szCs w:val="16"/>
              </w:rPr>
              <w:t>37%</w:t>
            </w:r>
          </w:p>
        </w:tc>
        <w:tc>
          <w:tcPr>
            <w:tcW w:w="2520" w:type="dxa"/>
            <w:gridSpan w:val="2"/>
          </w:tcPr>
          <w:p w:rsidR="004867BD" w:rsidRPr="00EA7749" w:rsidRDefault="00F43DB2" w:rsidP="00FC0995">
            <w:pPr>
              <w:jc w:val="center"/>
              <w:rPr>
                <w:rFonts w:ascii="Arial" w:hAnsi="Arial" w:cs="Arial"/>
                <w:sz w:val="16"/>
                <w:szCs w:val="16"/>
              </w:rPr>
            </w:pPr>
            <w:r>
              <w:rPr>
                <w:rFonts w:ascii="Arial" w:hAnsi="Arial" w:cs="Arial"/>
                <w:sz w:val="16"/>
                <w:szCs w:val="16"/>
              </w:rPr>
              <w:t>3</w:t>
            </w:r>
            <w:r w:rsidR="00FC0995">
              <w:rPr>
                <w:rFonts w:ascii="Arial" w:hAnsi="Arial" w:cs="Arial"/>
                <w:sz w:val="16"/>
                <w:szCs w:val="16"/>
              </w:rPr>
              <w:t>8</w:t>
            </w:r>
            <w:r w:rsidR="004867BD" w:rsidRPr="00EA7749">
              <w:rPr>
                <w:rFonts w:ascii="Arial" w:hAnsi="Arial" w:cs="Arial"/>
                <w:sz w:val="16"/>
                <w:szCs w:val="16"/>
              </w:rPr>
              <w:t>%</w:t>
            </w:r>
          </w:p>
        </w:tc>
        <w:tc>
          <w:tcPr>
            <w:tcW w:w="2573" w:type="dxa"/>
            <w:gridSpan w:val="2"/>
          </w:tcPr>
          <w:p w:rsidR="004867BD" w:rsidRPr="00EA7749" w:rsidRDefault="00FC0995" w:rsidP="00605F76">
            <w:pPr>
              <w:jc w:val="center"/>
              <w:rPr>
                <w:rFonts w:ascii="Arial" w:hAnsi="Arial" w:cs="Arial"/>
                <w:sz w:val="16"/>
                <w:szCs w:val="16"/>
              </w:rPr>
            </w:pPr>
            <w:r>
              <w:rPr>
                <w:rFonts w:ascii="Arial" w:hAnsi="Arial" w:cs="Arial"/>
                <w:sz w:val="16"/>
                <w:szCs w:val="16"/>
              </w:rPr>
              <w:t>2</w:t>
            </w:r>
            <w:r w:rsidR="00742221">
              <w:rPr>
                <w:rFonts w:ascii="Arial" w:hAnsi="Arial" w:cs="Arial"/>
                <w:sz w:val="16"/>
                <w:szCs w:val="16"/>
              </w:rPr>
              <w:t>%</w:t>
            </w:r>
          </w:p>
        </w:tc>
        <w:tc>
          <w:tcPr>
            <w:tcW w:w="2340" w:type="dxa"/>
            <w:gridSpan w:val="2"/>
          </w:tcPr>
          <w:p w:rsidR="004867BD" w:rsidRPr="00EA7749" w:rsidRDefault="00FC0995" w:rsidP="00FC0995">
            <w:pPr>
              <w:jc w:val="center"/>
              <w:rPr>
                <w:rFonts w:ascii="Arial" w:hAnsi="Arial" w:cs="Arial"/>
                <w:sz w:val="16"/>
                <w:szCs w:val="16"/>
              </w:rPr>
            </w:pPr>
            <w:r>
              <w:rPr>
                <w:rFonts w:ascii="Arial" w:hAnsi="Arial" w:cs="Arial"/>
                <w:sz w:val="16"/>
                <w:szCs w:val="16"/>
              </w:rPr>
              <w:t>40</w:t>
            </w:r>
            <w:r w:rsidR="005B7501">
              <w:rPr>
                <w:rFonts w:ascii="Arial" w:hAnsi="Arial" w:cs="Arial"/>
                <w:sz w:val="16"/>
                <w:szCs w:val="16"/>
              </w:rPr>
              <w:t>%</w:t>
            </w:r>
          </w:p>
        </w:tc>
      </w:tr>
      <w:tr w:rsidR="004867BD" w:rsidTr="0089650C">
        <w:trPr>
          <w:trHeight w:val="448"/>
        </w:trPr>
        <w:tc>
          <w:tcPr>
            <w:tcW w:w="15030" w:type="dxa"/>
            <w:gridSpan w:val="12"/>
          </w:tcPr>
          <w:p w:rsidR="00F6222B" w:rsidRDefault="00F6222B" w:rsidP="00C7599F">
            <w:pPr>
              <w:rPr>
                <w:b/>
                <w:bCs/>
                <w:sz w:val="16"/>
                <w:szCs w:val="16"/>
              </w:rPr>
            </w:pPr>
          </w:p>
          <w:p w:rsidR="004867BD" w:rsidRPr="00EA7749" w:rsidRDefault="004867BD" w:rsidP="00C7599F">
            <w:pPr>
              <w:rPr>
                <w:sz w:val="16"/>
                <w:szCs w:val="16"/>
              </w:rPr>
            </w:pPr>
            <w:r w:rsidRPr="00EA7749">
              <w:rPr>
                <w:b/>
                <w:bCs/>
                <w:sz w:val="16"/>
                <w:szCs w:val="16"/>
              </w:rPr>
              <w:t>Data Definition</w:t>
            </w:r>
            <w:r w:rsidRPr="00EA7749">
              <w:rPr>
                <w:sz w:val="16"/>
                <w:szCs w:val="16"/>
              </w:rPr>
              <w:t xml:space="preserve">:  </w:t>
            </w:r>
            <w:r w:rsidR="002660E4" w:rsidRPr="002660E4">
              <w:rPr>
                <w:sz w:val="16"/>
                <w:szCs w:val="16"/>
              </w:rPr>
              <w:t xml:space="preserve">The crowding levels are based on a mathematical ratio of the number of inmates divided by the rated capacity of the institutions at each of the specific security levels.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administrative maximum, detention, medical, holdover, and other special housing unit categories. </w:t>
            </w:r>
            <w:r w:rsidR="002660E4">
              <w:rPr>
                <w:sz w:val="16"/>
                <w:szCs w:val="16"/>
              </w:rPr>
              <w:t xml:space="preserve">  </w:t>
            </w:r>
            <w:r w:rsidR="002660E4" w:rsidRPr="002660E4">
              <w:rPr>
                <w:sz w:val="16"/>
                <w:szCs w:val="16"/>
              </w:rPr>
              <w:t xml:space="preserve">Medium security facilities: strengthened perimeters, mostly cell-type housing, work and treatment programs and a </w:t>
            </w:r>
            <w:r w:rsidR="00411BF9">
              <w:rPr>
                <w:sz w:val="16"/>
                <w:szCs w:val="16"/>
              </w:rPr>
              <w:t>low</w:t>
            </w:r>
            <w:r w:rsidR="002660E4" w:rsidRPr="002660E4">
              <w:rPr>
                <w:sz w:val="16"/>
                <w:szCs w:val="16"/>
              </w:rPr>
              <w:t xml:space="preserve">er inmate-to-staff ratio than low security facilities.  High security facilities: also known as U.S. Penitentiaries, highly secure perimeters, multiple and single cell housing, </w:t>
            </w:r>
            <w:r w:rsidR="00411BF9">
              <w:rPr>
                <w:sz w:val="16"/>
                <w:szCs w:val="16"/>
              </w:rPr>
              <w:t>low</w:t>
            </w:r>
            <w:r w:rsidR="002660E4" w:rsidRPr="002660E4">
              <w:rPr>
                <w:sz w:val="16"/>
                <w:szCs w:val="16"/>
              </w:rPr>
              <w:t>est inmate-to-staff ratio, close control of inmate movement.</w:t>
            </w:r>
            <w:r w:rsidR="002660E4">
              <w:rPr>
                <w:sz w:val="16"/>
                <w:szCs w:val="16"/>
              </w:rPr>
              <w:t xml:space="preserve">  </w:t>
            </w:r>
            <w:r w:rsidRPr="00EA7749">
              <w:rPr>
                <w:sz w:val="16"/>
                <w:szCs w:val="16"/>
              </w:rPr>
              <w:t>For new construction projects, a Notice to Proceed (NTP) is</w:t>
            </w:r>
            <w:r>
              <w:t xml:space="preserve"> </w:t>
            </w:r>
            <w:r w:rsidRPr="00EA7749">
              <w:rPr>
                <w:sz w:val="16"/>
                <w:szCs w:val="16"/>
              </w:rPr>
              <w:t xml:space="preserve">issued by the contracting officer, shortly after award of a design-build contract.  The NTP authorizes the contractor to begin work under the contract, initially the start of design.  </w:t>
            </w:r>
            <w:smartTag w:uri="urn:schemas-microsoft-com:office:smarttags" w:element="place">
              <w:r w:rsidRPr="00EA7749">
                <w:rPr>
                  <w:sz w:val="16"/>
                  <w:szCs w:val="16"/>
                </w:rPr>
                <w:t>Mission</w:t>
              </w:r>
            </w:smartTag>
            <w:r w:rsidRPr="00EA7749">
              <w:rPr>
                <w:sz w:val="16"/>
                <w:szCs w:val="16"/>
              </w:rPr>
              <w:t xml:space="preserve"> critical facilities are all existing BOP institutions.</w:t>
            </w:r>
          </w:p>
          <w:p w:rsidR="004867BD" w:rsidRPr="00EA7749" w:rsidRDefault="004867BD" w:rsidP="00C7599F">
            <w:pPr>
              <w:rPr>
                <w:b/>
                <w:bCs/>
                <w:sz w:val="16"/>
                <w:szCs w:val="16"/>
              </w:rPr>
            </w:pPr>
          </w:p>
          <w:p w:rsidR="00045C3F" w:rsidRPr="00EA7749" w:rsidRDefault="00045C3F" w:rsidP="00C7599F">
            <w:pPr>
              <w:rPr>
                <w:b/>
                <w:bCs/>
                <w:sz w:val="16"/>
                <w:szCs w:val="16"/>
              </w:rPr>
            </w:pPr>
          </w:p>
          <w:p w:rsidR="00AB6BBB" w:rsidRPr="00EA7749" w:rsidRDefault="00AB6BBB" w:rsidP="00C7599F">
            <w:pPr>
              <w:rPr>
                <w:b/>
                <w:bCs/>
                <w:sz w:val="16"/>
                <w:szCs w:val="16"/>
              </w:rPr>
            </w:pPr>
          </w:p>
          <w:p w:rsidR="00AB6BBB" w:rsidRPr="00EA7749" w:rsidRDefault="00AB6BBB" w:rsidP="00C7599F">
            <w:pPr>
              <w:rPr>
                <w:b/>
                <w:bCs/>
                <w:sz w:val="16"/>
                <w:szCs w:val="16"/>
              </w:rPr>
            </w:pPr>
          </w:p>
          <w:p w:rsidR="004867BD" w:rsidRDefault="004867BD" w:rsidP="00C7599F">
            <w:pPr>
              <w:rPr>
                <w:sz w:val="16"/>
                <w:szCs w:val="16"/>
              </w:rPr>
            </w:pPr>
            <w:r w:rsidRPr="00EA7749">
              <w:rPr>
                <w:b/>
                <w:bCs/>
                <w:sz w:val="16"/>
                <w:szCs w:val="16"/>
              </w:rPr>
              <w:t>Data Collection and Storage</w:t>
            </w:r>
            <w:r w:rsidRPr="00EA7749">
              <w:rPr>
                <w:sz w:val="16"/>
                <w:szCs w:val="16"/>
              </w:rPr>
              <w:t>: Data are gathered from several computer systems.  Each project is assigned a specific project code.   Each obligation and expenditure is entered into FMIS</w:t>
            </w:r>
            <w:r>
              <w:t xml:space="preserve"> </w:t>
            </w:r>
            <w:r w:rsidR="00E9005D" w:rsidRPr="00EA7749">
              <w:rPr>
                <w:sz w:val="16"/>
                <w:szCs w:val="16"/>
              </w:rPr>
              <w:t xml:space="preserve">by the specific project code.  </w:t>
            </w:r>
            <w:r w:rsidRPr="00EA7749">
              <w:rPr>
                <w:sz w:val="16"/>
                <w:szCs w:val="16"/>
              </w:rPr>
              <w:t xml:space="preserve">Award </w:t>
            </w:r>
            <w:proofErr w:type="gramStart"/>
            <w:r w:rsidRPr="00EA7749">
              <w:rPr>
                <w:sz w:val="16"/>
                <w:szCs w:val="16"/>
              </w:rPr>
              <w:t>of  design</w:t>
            </w:r>
            <w:proofErr w:type="gramEnd"/>
            <w:r w:rsidRPr="00EA7749">
              <w:rPr>
                <w:sz w:val="16"/>
                <w:szCs w:val="16"/>
              </w:rPr>
              <w:t>-build contract</w:t>
            </w:r>
            <w:r w:rsidR="00E9005D" w:rsidRPr="00EA7749">
              <w:rPr>
                <w:sz w:val="16"/>
                <w:szCs w:val="16"/>
              </w:rPr>
              <w:t>s</w:t>
            </w:r>
            <w:r w:rsidRPr="00EA7749">
              <w:rPr>
                <w:sz w:val="16"/>
                <w:szCs w:val="16"/>
              </w:rPr>
              <w:t xml:space="preserve"> for new construction projects are maintained and monitored through the BOP’s fund control system and DOJ’s FMIS.  </w:t>
            </w:r>
            <w:r w:rsidR="00AC15BB" w:rsidRPr="00AC15BB">
              <w:rPr>
                <w:sz w:val="16"/>
                <w:szCs w:val="16"/>
              </w:rPr>
              <w:t>Inmate data are collected on the BOP on-line system (SENTRY).  The BOP also utilizes a population forecast model to plan for future contracting and construction requirements to meet capacity needs.</w:t>
            </w:r>
          </w:p>
          <w:p w:rsidR="00AC15BB" w:rsidRPr="00EA7749" w:rsidRDefault="00AC15BB" w:rsidP="00C7599F">
            <w:pPr>
              <w:rPr>
                <w:sz w:val="16"/>
                <w:szCs w:val="16"/>
              </w:rPr>
            </w:pPr>
          </w:p>
          <w:p w:rsidR="004867BD" w:rsidRPr="00EA7749" w:rsidRDefault="004867BD" w:rsidP="00C7599F">
            <w:pPr>
              <w:rPr>
                <w:sz w:val="16"/>
                <w:szCs w:val="16"/>
              </w:rPr>
            </w:pPr>
            <w:r w:rsidRPr="00EA7749">
              <w:rPr>
                <w:b/>
                <w:bCs/>
                <w:sz w:val="16"/>
                <w:szCs w:val="16"/>
              </w:rPr>
              <w:t>Data Validation and Verification</w:t>
            </w:r>
            <w:r w:rsidR="007514B9" w:rsidRPr="00EA7749">
              <w:rPr>
                <w:sz w:val="16"/>
                <w:szCs w:val="16"/>
              </w:rPr>
              <w:t xml:space="preserve">: Within BOP headquarters, </w:t>
            </w:r>
            <w:proofErr w:type="gramStart"/>
            <w:r w:rsidR="007514B9" w:rsidRPr="00EA7749">
              <w:rPr>
                <w:sz w:val="16"/>
                <w:szCs w:val="16"/>
              </w:rPr>
              <w:t xml:space="preserve">staff </w:t>
            </w:r>
            <w:r w:rsidR="002660E4">
              <w:rPr>
                <w:sz w:val="16"/>
                <w:szCs w:val="16"/>
              </w:rPr>
              <w:t xml:space="preserve"> </w:t>
            </w:r>
            <w:r w:rsidRPr="00EA7749">
              <w:rPr>
                <w:sz w:val="16"/>
                <w:szCs w:val="16"/>
              </w:rPr>
              <w:t>retrieve</w:t>
            </w:r>
            <w:proofErr w:type="gramEnd"/>
            <w:r w:rsidRPr="00EA7749">
              <w:rPr>
                <w:sz w:val="16"/>
                <w:szCs w:val="16"/>
              </w:rPr>
              <w:t xml:space="preserve"> and verify data on a daily basis, analyze it, and formulate reports and projections.  Purchase requests for design-build contracts are approved by specific project management staff (based on dollar threshold limitations); commitments are entered into a computer based fund control system; and purchase requests are forwarded for procurement action.  Once the procurement office awards a contract/purchase order, the obligation is entered into the DOJ FMIS.  Each month, FMIS obligations are reconciled with the BOP’s fund control register by project, and forwarded to the Central Office Finance Branch, Business Office, to ensure accuracy and compliance.   The contracting officer issues the NTP, shortly after award of a design-build contract.  The award of a contract is based on completing the procurement of the contract and receipt of the necessary environmental or political requirements or clearances.</w:t>
            </w:r>
            <w:r w:rsidR="002660E4">
              <w:rPr>
                <w:sz w:val="16"/>
                <w:szCs w:val="16"/>
              </w:rPr>
              <w:t xml:space="preserve"> </w:t>
            </w:r>
            <w:r w:rsidR="002660E4" w:rsidRPr="002660E4">
              <w:rPr>
                <w:sz w:val="16"/>
                <w:szCs w:val="16"/>
              </w:rPr>
              <w:t xml:space="preserve">Subject matter experts review and analyze population and capacity levels daily, both overall and by security level.  BOP institutions print a SENTRY report, which provides the count of inmates within every institution cell house.  The report further subdivides the cell houses into counting groups, based on the layout of the institution.  Using this report, institution </w:t>
            </w:r>
            <w:proofErr w:type="gramStart"/>
            <w:r w:rsidR="002660E4" w:rsidRPr="002660E4">
              <w:rPr>
                <w:sz w:val="16"/>
                <w:szCs w:val="16"/>
              </w:rPr>
              <w:t>staff conduct</w:t>
            </w:r>
            <w:proofErr w:type="gramEnd"/>
            <w:r w:rsidR="002660E4" w:rsidRPr="002660E4">
              <w:rPr>
                <w:sz w:val="16"/>
                <w:szCs w:val="16"/>
              </w:rPr>
              <w:t xml:space="preserve"> an official inmate count five times per day to confirm the inmate count within SENTRY.  The BOP Capacity Planning Committee (CPC), comprised of top BOP officials, meets bi-monthly to review, verify, and update population projections and capacity needs for the BOP.  Offender data are collected regularly from the Administrative Office of the U.S. Courts by the BOP Office of Research and Evaluation in order to project population trends.  The CPC reconciles bed space needs and crowding trends to ensure that all available prison space is fully utilized, both in federal prisons and in contract care.</w:t>
            </w:r>
            <w:r w:rsidR="002660E4" w:rsidRPr="002660E4">
              <w:rPr>
                <w:sz w:val="16"/>
                <w:szCs w:val="16"/>
              </w:rPr>
              <w:tab/>
            </w:r>
          </w:p>
          <w:p w:rsidR="004867BD" w:rsidRPr="00EA7749" w:rsidRDefault="004867BD" w:rsidP="00C7599F">
            <w:pPr>
              <w:rPr>
                <w:sz w:val="16"/>
                <w:szCs w:val="16"/>
              </w:rPr>
            </w:pPr>
          </w:p>
          <w:p w:rsidR="004867BD" w:rsidRPr="00EA7749" w:rsidRDefault="004867BD" w:rsidP="00C7599F">
            <w:pPr>
              <w:rPr>
                <w:sz w:val="16"/>
                <w:szCs w:val="16"/>
              </w:rPr>
            </w:pPr>
            <w:r w:rsidRPr="00EA7749">
              <w:rPr>
                <w:b/>
                <w:bCs/>
                <w:sz w:val="16"/>
                <w:szCs w:val="16"/>
              </w:rPr>
              <w:t>Data Limitations</w:t>
            </w:r>
            <w:r w:rsidRPr="00EA7749">
              <w:rPr>
                <w:sz w:val="16"/>
                <w:szCs w:val="16"/>
              </w:rPr>
              <w:t>: Due to the unpredictable environment in prisons and other external factors, there may be discrepancies between projected and actual numbers contained in the performance tables.  Most plans are developed based on historical data, and past experience to project for the future.  In addition, budget delays and shortfalls also affect performance results.   The time required for a project to go from NTP to “completion” depends on numerous factors, such as: the extent of site development or remediation activities required; climate of the project site (how many months of good construction weather); what time of year the NTP is issued; unusual weather; unforeseen site conditions; and quality of management by the contractor.</w:t>
            </w:r>
          </w:p>
          <w:p w:rsidR="004867BD" w:rsidRPr="00EA7749" w:rsidRDefault="004867BD" w:rsidP="00C7599F">
            <w:pPr>
              <w:rPr>
                <w:sz w:val="16"/>
                <w:szCs w:val="16"/>
              </w:rPr>
            </w:pPr>
          </w:p>
          <w:p w:rsidR="004867BD" w:rsidRPr="00EA7749" w:rsidRDefault="004867BD" w:rsidP="00C7599F">
            <w:pPr>
              <w:rPr>
                <w:sz w:val="16"/>
                <w:szCs w:val="16"/>
              </w:rPr>
            </w:pPr>
          </w:p>
          <w:p w:rsidR="004867BD" w:rsidRDefault="004867BD" w:rsidP="00C7599F"/>
          <w:p w:rsidR="004867BD" w:rsidRDefault="004867BD" w:rsidP="00C7599F"/>
          <w:p w:rsidR="004867BD" w:rsidRPr="00EA7749" w:rsidRDefault="004867BD" w:rsidP="00C7599F">
            <w:pPr>
              <w:rPr>
                <w:rFonts w:ascii="Arial" w:hAnsi="Arial" w:cs="Arial"/>
                <w:sz w:val="16"/>
                <w:szCs w:val="16"/>
              </w:rPr>
            </w:pPr>
          </w:p>
        </w:tc>
      </w:tr>
    </w:tbl>
    <w:p w:rsidR="00C7599F" w:rsidRDefault="00C7599F" w:rsidP="006B7100">
      <w:pPr>
        <w:pStyle w:val="xl19"/>
        <w:spacing w:before="0" w:after="0"/>
      </w:pPr>
    </w:p>
    <w:p w:rsidR="00FF32A9" w:rsidRDefault="00FF32A9" w:rsidP="006B7100">
      <w:pPr>
        <w:pStyle w:val="xl19"/>
        <w:spacing w:before="0" w:after="0"/>
      </w:pPr>
    </w:p>
    <w:p w:rsidR="00D905C1" w:rsidRDefault="00D905C1" w:rsidP="006B7100">
      <w:pPr>
        <w:pStyle w:val="xl19"/>
        <w:spacing w:before="0" w:after="0"/>
      </w:pPr>
    </w:p>
    <w:p w:rsidR="00D905C1" w:rsidRDefault="00D905C1" w:rsidP="006B7100">
      <w:pPr>
        <w:pStyle w:val="xl19"/>
        <w:spacing w:before="0" w:after="0"/>
      </w:pPr>
    </w:p>
    <w:p w:rsidR="00D905C1" w:rsidRDefault="00D905C1" w:rsidP="006B7100">
      <w:pPr>
        <w:pStyle w:val="xl19"/>
        <w:spacing w:before="0" w:after="0"/>
      </w:pPr>
    </w:p>
    <w:p w:rsidR="00D905C1" w:rsidRDefault="00E73CE1" w:rsidP="006B7100">
      <w:pPr>
        <w:pStyle w:val="xl19"/>
        <w:spacing w:before="0" w:after="0"/>
      </w:pPr>
      <w:r>
        <w:br w:type="page"/>
      </w:r>
      <w:r w:rsidR="00EF2126" w:rsidRPr="00E73CE1">
        <w:rPr>
          <w:rFonts w:eastAsia="Times New Roman"/>
          <w:szCs w:val="24"/>
        </w:rPr>
        <w:object w:dxaOrig="14008"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25pt;height:243pt" o:ole="" o:bordertopcolor="this" o:borderleftcolor="this" o:borderbottomcolor="this" o:borderrightcolor="this">
            <v:imagedata r:id="rId15" o:title=""/>
            <w10:bordertop type="single" width="8"/>
            <w10:borderleft type="single" width="8"/>
            <w10:borderbottom type="single" width="8"/>
            <w10:borderright type="single" width="8"/>
          </v:shape>
          <o:OLEObject Type="Embed" ProgID="Excel.Sheet.8" ShapeID="_x0000_i1025" DrawAspect="Content" ObjectID="_1358772605" r:id="rId16"/>
        </w:object>
      </w:r>
    </w:p>
    <w:p w:rsidR="00D905C1" w:rsidRDefault="00D905C1" w:rsidP="006B7100">
      <w:pPr>
        <w:pStyle w:val="xl19"/>
        <w:spacing w:before="0" w:after="0"/>
      </w:pPr>
    </w:p>
    <w:p w:rsidR="00223731" w:rsidRDefault="00223731" w:rsidP="006B7100">
      <w:pPr>
        <w:pStyle w:val="xl19"/>
        <w:spacing w:before="0" w:after="0"/>
        <w:sectPr w:rsidR="00223731" w:rsidSect="00F75658">
          <w:pgSz w:w="15840" w:h="12240" w:orient="landscape"/>
          <w:pgMar w:top="1800" w:right="1440" w:bottom="1800" w:left="1008" w:header="720" w:footer="720" w:gutter="0"/>
          <w:cols w:space="720"/>
          <w:docGrid w:linePitch="360"/>
        </w:sectPr>
      </w:pPr>
    </w:p>
    <w:p w:rsidR="004D3D2F" w:rsidRDefault="00223731" w:rsidP="004D3D2F">
      <w:pPr>
        <w:widowControl w:val="0"/>
      </w:pPr>
      <w:r w:rsidRPr="00223731">
        <w:rPr>
          <w:b/>
        </w:rPr>
        <w:lastRenderedPageBreak/>
        <w:t>3</w:t>
      </w:r>
      <w:r>
        <w:t>.</w:t>
      </w:r>
      <w:r w:rsidR="007D7A60">
        <w:t xml:space="preserve"> </w:t>
      </w:r>
      <w:r w:rsidR="004D3D2F">
        <w:rPr>
          <w:b/>
        </w:rPr>
        <w:t>Performance, Resources, and Strategies</w:t>
      </w:r>
    </w:p>
    <w:p w:rsidR="004D3D2F" w:rsidRDefault="004D3D2F" w:rsidP="004D3D2F">
      <w:pPr>
        <w:widowControl w:val="0"/>
      </w:pPr>
      <w:r>
        <w:t>The New Construction decision unit contributes directly to the Department’s Strategic Goal 3: Ensure the Fair and Efficient Administration of Justice.</w:t>
      </w:r>
    </w:p>
    <w:p w:rsidR="004D3D2F" w:rsidRDefault="004D3D2F" w:rsidP="004D3D2F">
      <w:pPr>
        <w:widowControl w:val="0"/>
        <w:rPr>
          <w:b/>
        </w:rPr>
      </w:pPr>
    </w:p>
    <w:p w:rsidR="004D3D2F" w:rsidRDefault="004D3D2F" w:rsidP="004D3D2F">
      <w:pPr>
        <w:widowControl w:val="0"/>
      </w:pPr>
      <w:r>
        <w:rPr>
          <w:b/>
        </w:rPr>
        <w:t>a. Performance Plan and Report for Outcomes</w:t>
      </w:r>
    </w:p>
    <w:p w:rsidR="004D3D2F" w:rsidRDefault="004D3D2F" w:rsidP="004D3D2F">
      <w:pPr>
        <w:widowControl w:val="0"/>
        <w:rPr>
          <w:b/>
        </w:rPr>
      </w:pPr>
      <w:r>
        <w:t xml:space="preserve">As illustrated in the preceding Performance and Resources Table, the outcome measures for this decision unit </w:t>
      </w:r>
      <w:r w:rsidR="00F95C1A">
        <w:t>include:</w:t>
      </w:r>
      <w:r>
        <w:t xml:space="preserve"> Number of facilities completed/constructed and System-wide crowding level.  </w:t>
      </w:r>
    </w:p>
    <w:p w:rsidR="004D3D2F" w:rsidRDefault="004D3D2F" w:rsidP="004D3D2F">
      <w:pPr>
        <w:widowControl w:val="0"/>
        <w:rPr>
          <w:b/>
        </w:rPr>
      </w:pPr>
    </w:p>
    <w:p w:rsidR="004D3D2F" w:rsidRDefault="005B7501" w:rsidP="004D3D2F">
      <w:pPr>
        <w:widowControl w:val="0"/>
      </w:pPr>
      <w:r>
        <w:t xml:space="preserve">For FY 2010, BOP </w:t>
      </w:r>
      <w:r w:rsidR="007E3D08">
        <w:t xml:space="preserve">completed </w:t>
      </w:r>
      <w:r w:rsidR="0012601B">
        <w:t>two</w:t>
      </w:r>
      <w:r w:rsidR="003C6845">
        <w:t xml:space="preserve"> environmental impact study/environmental assessment</w:t>
      </w:r>
      <w:r w:rsidR="00F10D40">
        <w:t>s</w:t>
      </w:r>
      <w:r w:rsidR="003E577A">
        <w:t xml:space="preserve"> (USP South Central/Forrest City, AR</w:t>
      </w:r>
      <w:r w:rsidR="0012601B">
        <w:t xml:space="preserve"> and </w:t>
      </w:r>
      <w:r w:rsidR="007E3D08">
        <w:t>Yazoo City, MS</w:t>
      </w:r>
      <w:r w:rsidR="003E577A">
        <w:t>)</w:t>
      </w:r>
      <w:r w:rsidR="007E3D08">
        <w:t xml:space="preserve">.  </w:t>
      </w:r>
      <w:r w:rsidR="00F10D40">
        <w:t xml:space="preserve">There are additional environmental concerns at Forrest City and </w:t>
      </w:r>
      <w:r w:rsidR="00035581">
        <w:t>c</w:t>
      </w:r>
      <w:r w:rsidR="00F10D40">
        <w:t>ommunity concerns are being addressed at Thomson.</w:t>
      </w:r>
      <w:r w:rsidR="003E577A">
        <w:t xml:space="preserve">  </w:t>
      </w:r>
      <w:r w:rsidR="000D7E98">
        <w:t>F</w:t>
      </w:r>
      <w:r w:rsidR="00004342">
        <w:t xml:space="preserve">or FY 2011, </w:t>
      </w:r>
      <w:r w:rsidR="004E5259">
        <w:t>BOP plan</w:t>
      </w:r>
      <w:r w:rsidR="0012601B">
        <w:t>s</w:t>
      </w:r>
      <w:r w:rsidR="004E5259">
        <w:t xml:space="preserve"> on completing</w:t>
      </w:r>
      <w:r w:rsidR="0012601B">
        <w:t xml:space="preserve"> </w:t>
      </w:r>
      <w:r w:rsidR="00066C9B">
        <w:t>one</w:t>
      </w:r>
      <w:r w:rsidR="004E5259">
        <w:t xml:space="preserve"> environmental impact stud</w:t>
      </w:r>
      <w:r w:rsidR="0012601B">
        <w:t>y/environmental assessment</w:t>
      </w:r>
      <w:r>
        <w:t>s</w:t>
      </w:r>
      <w:r w:rsidR="0012601B">
        <w:t xml:space="preserve"> (</w:t>
      </w:r>
      <w:r>
        <w:t>Administrative USP Thomson, IL</w:t>
      </w:r>
      <w:r w:rsidR="0012601B">
        <w:t>)</w:t>
      </w:r>
      <w:r w:rsidR="00F10D40">
        <w:t>; and f</w:t>
      </w:r>
      <w:r w:rsidR="003C6845">
        <w:t>or FY 2012,</w:t>
      </w:r>
      <w:r w:rsidR="004E5259">
        <w:t xml:space="preserve"> there are f</w:t>
      </w:r>
      <w:r>
        <w:t>ive</w:t>
      </w:r>
      <w:r w:rsidR="004E5259">
        <w:t xml:space="preserve"> anticipated </w:t>
      </w:r>
      <w:r w:rsidR="003C6845">
        <w:t>(</w:t>
      </w:r>
      <w:r w:rsidR="003224DB">
        <w:t xml:space="preserve">FCI Leavenworth, KS; Administrative </w:t>
      </w:r>
      <w:r w:rsidR="004E5259">
        <w:t xml:space="preserve">USP El Reno, OK; USP Bennettsville, SC; </w:t>
      </w:r>
      <w:r>
        <w:t>USP Le</w:t>
      </w:r>
      <w:r w:rsidR="004B33AC">
        <w:t>t</w:t>
      </w:r>
      <w:r>
        <w:t>cher County, KY and USP Pekin, IL</w:t>
      </w:r>
      <w:r w:rsidR="003224DB">
        <w:t>).</w:t>
      </w:r>
    </w:p>
    <w:p w:rsidR="00004342" w:rsidRDefault="00004342" w:rsidP="004D3D2F">
      <w:pPr>
        <w:widowControl w:val="0"/>
      </w:pPr>
    </w:p>
    <w:p w:rsidR="003B0D83" w:rsidRDefault="00004342" w:rsidP="004D3D2F">
      <w:pPr>
        <w:widowControl w:val="0"/>
      </w:pPr>
      <w:r>
        <w:t xml:space="preserve">BOP </w:t>
      </w:r>
      <w:r w:rsidR="00066C9B">
        <w:t xml:space="preserve">did not have </w:t>
      </w:r>
      <w:r w:rsidR="00403D91">
        <w:t xml:space="preserve">any </w:t>
      </w:r>
      <w:r>
        <w:t>major construc</w:t>
      </w:r>
      <w:r w:rsidR="00403D91">
        <w:t>tion awards</w:t>
      </w:r>
      <w:r>
        <w:t xml:space="preserve"> in FY 20</w:t>
      </w:r>
      <w:r w:rsidR="00403D91">
        <w:t>10</w:t>
      </w:r>
      <w:r w:rsidR="00066C9B">
        <w:t xml:space="preserve"> and are anticipating no major construction awards</w:t>
      </w:r>
      <w:r w:rsidR="005B7501">
        <w:t xml:space="preserve"> through FY 2012</w:t>
      </w:r>
      <w:r w:rsidR="00403D91">
        <w:t xml:space="preserve">.  </w:t>
      </w:r>
    </w:p>
    <w:p w:rsidR="003F4168" w:rsidRDefault="003F4168" w:rsidP="004D3D2F">
      <w:pPr>
        <w:widowControl w:val="0"/>
      </w:pPr>
    </w:p>
    <w:p w:rsidR="003B0D83" w:rsidRDefault="003B0D83" w:rsidP="004D3D2F">
      <w:pPr>
        <w:widowControl w:val="0"/>
      </w:pPr>
      <w:r>
        <w:t>For FY 20</w:t>
      </w:r>
      <w:r w:rsidR="00AB333C">
        <w:t>10</w:t>
      </w:r>
      <w:r>
        <w:t>, there</w:t>
      </w:r>
      <w:r w:rsidR="002F72C2">
        <w:t xml:space="preserve"> </w:t>
      </w:r>
      <w:r w:rsidR="00066C9B">
        <w:t xml:space="preserve">were </w:t>
      </w:r>
      <w:r w:rsidR="00AB333C">
        <w:t>three facilities complete</w:t>
      </w:r>
      <w:r w:rsidR="00CC2F61">
        <w:t>d</w:t>
      </w:r>
      <w:r w:rsidR="00AB333C">
        <w:t xml:space="preserve"> (</w:t>
      </w:r>
      <w:r>
        <w:t>FCI McDowell, WV</w:t>
      </w:r>
      <w:r w:rsidR="003F4168">
        <w:t xml:space="preserve">, </w:t>
      </w:r>
      <w:r>
        <w:t>FCI Mendota, CA</w:t>
      </w:r>
      <w:r w:rsidR="003F4168">
        <w:t xml:space="preserve"> and FCI Berlin, NH</w:t>
      </w:r>
      <w:r>
        <w:t>)</w:t>
      </w:r>
      <w:r w:rsidR="00CC2F61">
        <w:t xml:space="preserve">.  </w:t>
      </w:r>
      <w:r>
        <w:t>For</w:t>
      </w:r>
      <w:r w:rsidR="003F4168">
        <w:t xml:space="preserve"> </w:t>
      </w:r>
      <w:r>
        <w:t>FY</w:t>
      </w:r>
      <w:r w:rsidR="00CF79FE">
        <w:t xml:space="preserve">2011, BOP anticipates </w:t>
      </w:r>
      <w:r w:rsidR="00094E61">
        <w:t>one</w:t>
      </w:r>
      <w:r w:rsidR="00CF79FE">
        <w:t xml:space="preserve"> more completion </w:t>
      </w:r>
      <w:r>
        <w:t>(</w:t>
      </w:r>
      <w:r w:rsidR="00DC4681">
        <w:t>Aliceville, AL</w:t>
      </w:r>
      <w:r w:rsidR="00CF79FE">
        <w:t>).</w:t>
      </w:r>
      <w:r w:rsidR="00CC2F61">
        <w:t xml:space="preserve">  However, for FY 2012, there are no facilities estimated for completion.</w:t>
      </w:r>
    </w:p>
    <w:p w:rsidR="003B0D83" w:rsidRDefault="003B0D83" w:rsidP="004D3D2F">
      <w:pPr>
        <w:widowControl w:val="0"/>
      </w:pPr>
    </w:p>
    <w:p w:rsidR="004D3D2F" w:rsidRDefault="00295C4A" w:rsidP="004D3D2F">
      <w:pPr>
        <w:widowControl w:val="0"/>
      </w:pPr>
      <w:r w:rsidRPr="00295C4A">
        <w:rPr>
          <w:bCs/>
          <w:color w:val="000000"/>
        </w:rPr>
        <w:t>The population projections are based on data and information from a variety of sources including the Administrative Office of the U.S. Courts, the U.S. Sentencing Commission, other DOJ components, and the BOP's own information system (SENTRY).  Additional capacity projections rely on future enactment of funding for contract beds, acquisitions, new construction, and activations</w:t>
      </w:r>
      <w:r>
        <w:rPr>
          <w:bCs/>
          <w:color w:val="000000"/>
        </w:rPr>
        <w:t xml:space="preserve">.  </w:t>
      </w:r>
      <w:r w:rsidR="00CC2F61">
        <w:t>F</w:t>
      </w:r>
      <w:r w:rsidR="00E9005D">
        <w:t>or</w:t>
      </w:r>
      <w:r w:rsidR="003B0D83">
        <w:t xml:space="preserve"> </w:t>
      </w:r>
      <w:r w:rsidR="004D3D2F">
        <w:t>FY 20</w:t>
      </w:r>
      <w:r w:rsidR="002E1505">
        <w:t>1</w:t>
      </w:r>
      <w:r w:rsidR="004D3D2F">
        <w:t>0</w:t>
      </w:r>
      <w:r w:rsidR="00066C9B">
        <w:t>, the actual system-wide crowding was 37 percent.  BOP’s new projections for system-wide crowding (per new capacity plan dated 1/26/11) stands at 38 percent for FY 2011 and 40 percent for FY 2012.</w:t>
      </w:r>
      <w:r w:rsidR="003B0D83">
        <w:t xml:space="preserve"> </w:t>
      </w:r>
    </w:p>
    <w:p w:rsidR="004D3D2F" w:rsidRDefault="004D3D2F" w:rsidP="004D3D2F">
      <w:pPr>
        <w:widowControl w:val="0"/>
        <w:rPr>
          <w:b/>
        </w:rPr>
      </w:pPr>
      <w:r>
        <w:t xml:space="preserve"> </w:t>
      </w:r>
    </w:p>
    <w:p w:rsidR="004D3D2F" w:rsidRDefault="004D3D2F" w:rsidP="004D3D2F">
      <w:pPr>
        <w:widowControl w:val="0"/>
        <w:rPr>
          <w:b/>
        </w:rPr>
      </w:pPr>
      <w:r>
        <w:rPr>
          <w:b/>
        </w:rPr>
        <w:t>b. Strategies to Accomplish Outcomes</w:t>
      </w:r>
    </w:p>
    <w:p w:rsidR="004D3D2F" w:rsidRDefault="00401D09" w:rsidP="004D3D2F">
      <w:pPr>
        <w:widowControl w:val="0"/>
      </w:pPr>
      <w:r>
        <w:t>The BOP s</w:t>
      </w:r>
      <w:r w:rsidR="007F3524">
        <w:t>trive</w:t>
      </w:r>
      <w:r>
        <w:t>s</w:t>
      </w:r>
      <w:r w:rsidR="007F3524">
        <w:t xml:space="preserve"> to a</w:t>
      </w:r>
      <w:r w:rsidR="004D3D2F">
        <w:t>cquire needed capacity through a multi-pronged approach of contracts with private providers of correctional services</w:t>
      </w:r>
      <w:r w:rsidR="00E9005D">
        <w:t xml:space="preserve"> for male low security special populations</w:t>
      </w:r>
      <w:r w:rsidR="004D3D2F">
        <w:t xml:space="preserve">, with </w:t>
      </w:r>
      <w:r w:rsidR="007F3524">
        <w:t xml:space="preserve">state and local </w:t>
      </w:r>
      <w:r w:rsidR="004D3D2F">
        <w:t>government</w:t>
      </w:r>
      <w:r w:rsidR="007F3524">
        <w:t>s</w:t>
      </w:r>
      <w:r w:rsidR="004D3D2F">
        <w:t xml:space="preserve">, </w:t>
      </w:r>
      <w:r w:rsidR="007F3524">
        <w:t>expansion</w:t>
      </w:r>
      <w:r w:rsidR="00E9005D">
        <w:t>s</w:t>
      </w:r>
      <w:r w:rsidR="007F3524">
        <w:t xml:space="preserve"> of existing facilities and </w:t>
      </w:r>
      <w:r w:rsidR="004D3D2F">
        <w:t>construction</w:t>
      </w:r>
      <w:r w:rsidR="003F4168">
        <w:t xml:space="preserve"> and acquisition</w:t>
      </w:r>
      <w:r w:rsidR="00B079FB">
        <w:t xml:space="preserve"> of new prisons</w:t>
      </w:r>
      <w:r w:rsidR="004D3D2F">
        <w:t>.</w:t>
      </w:r>
    </w:p>
    <w:p w:rsidR="004D3D2F" w:rsidRDefault="004D3D2F" w:rsidP="004D3D2F">
      <w:pPr>
        <w:widowControl w:val="0"/>
      </w:pPr>
    </w:p>
    <w:p w:rsidR="00C71420" w:rsidRDefault="00C71420" w:rsidP="00C71420">
      <w:pPr>
        <w:widowControl w:val="0"/>
      </w:pPr>
      <w:r>
        <w:t>BOP continues to contract out for</w:t>
      </w:r>
      <w:r w:rsidR="00E9005D">
        <w:t xml:space="preserve"> male</w:t>
      </w:r>
      <w:r>
        <w:t xml:space="preserve"> special population low and minimum security inmates.  </w:t>
      </w:r>
      <w:r w:rsidR="003F4168">
        <w:t>A total of 3</w:t>
      </w:r>
      <w:r w:rsidR="00327623">
        <w:t>7</w:t>
      </w:r>
      <w:r w:rsidR="002360B8">
        <w:t>,</w:t>
      </w:r>
      <w:r w:rsidR="00327623">
        <w:t>839</w:t>
      </w:r>
      <w:r>
        <w:t xml:space="preserve"> </w:t>
      </w:r>
      <w:r w:rsidR="002360B8">
        <w:t xml:space="preserve">inmates </w:t>
      </w:r>
      <w:r w:rsidR="00F701A1">
        <w:t>(</w:t>
      </w:r>
      <w:r w:rsidR="00332E2F">
        <w:t>about 18</w:t>
      </w:r>
      <w:r>
        <w:t xml:space="preserve"> percent</w:t>
      </w:r>
      <w:r w:rsidR="00F701A1">
        <w:t>)</w:t>
      </w:r>
      <w:r>
        <w:t xml:space="preserve"> were housed in contract confinement</w:t>
      </w:r>
      <w:r w:rsidR="003F4168">
        <w:t xml:space="preserve"> as of </w:t>
      </w:r>
      <w:r w:rsidR="00327623">
        <w:t>January 13, 2011</w:t>
      </w:r>
      <w:r>
        <w:t xml:space="preserve">.  </w:t>
      </w:r>
    </w:p>
    <w:p w:rsidR="007C6EB9" w:rsidRDefault="007C6EB9" w:rsidP="004D3D2F">
      <w:pPr>
        <w:pStyle w:val="xl19"/>
        <w:spacing w:before="0" w:after="0"/>
        <w:rPr>
          <w:b/>
        </w:rPr>
      </w:pPr>
    </w:p>
    <w:p w:rsidR="007C6EB9" w:rsidRDefault="007C6EB9" w:rsidP="004D3D2F">
      <w:pPr>
        <w:pStyle w:val="xl19"/>
        <w:spacing w:before="0" w:after="0"/>
        <w:rPr>
          <w:b/>
        </w:rPr>
      </w:pPr>
    </w:p>
    <w:p w:rsidR="00E24FA3" w:rsidRDefault="00E24FA3" w:rsidP="004D3D2F">
      <w:pPr>
        <w:pStyle w:val="xl19"/>
        <w:spacing w:before="0" w:after="0"/>
        <w:rPr>
          <w:b/>
        </w:rPr>
      </w:pPr>
    </w:p>
    <w:p w:rsidR="00E8672E" w:rsidRDefault="00E8672E" w:rsidP="004D3D2F">
      <w:pPr>
        <w:pStyle w:val="xl19"/>
        <w:spacing w:before="0" w:after="0"/>
        <w:rPr>
          <w:b/>
        </w:rPr>
      </w:pPr>
    </w:p>
    <w:p w:rsidR="00E8672E" w:rsidRDefault="00E8672E" w:rsidP="004D3D2F">
      <w:pPr>
        <w:pStyle w:val="xl19"/>
        <w:spacing w:before="0" w:after="0"/>
        <w:rPr>
          <w:b/>
        </w:rPr>
      </w:pPr>
    </w:p>
    <w:p w:rsidR="00B24658" w:rsidRDefault="00464C35" w:rsidP="004D3D2F">
      <w:pPr>
        <w:pStyle w:val="xl19"/>
        <w:spacing w:before="0" w:after="0"/>
        <w:rPr>
          <w:b/>
        </w:rPr>
      </w:pPr>
      <w:r>
        <w:rPr>
          <w:b/>
        </w:rPr>
        <w:br w:type="page"/>
      </w:r>
      <w:r w:rsidR="004D3D2F">
        <w:rPr>
          <w:b/>
        </w:rPr>
        <w:lastRenderedPageBreak/>
        <w:t xml:space="preserve">B.  Modernization and Repair </w:t>
      </w:r>
    </w:p>
    <w:p w:rsidR="004D3D2F" w:rsidRDefault="004D3D2F" w:rsidP="004D3D2F">
      <w:pPr>
        <w:pStyle w:val="xl19"/>
        <w:spacing w:before="0" w:after="0"/>
        <w:rPr>
          <w:b/>
        </w:rPr>
      </w:pPr>
      <w:r>
        <w:rPr>
          <w:b/>
        </w:rPr>
        <w:t xml:space="preserve">                                                                                                                                               </w:t>
      </w:r>
    </w:p>
    <w:p w:rsidR="004D3D2F" w:rsidRDefault="004D3D2F" w:rsidP="004D3D2F">
      <w:pPr>
        <w:pStyle w:val="xl19"/>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9"/>
        <w:gridCol w:w="1281"/>
        <w:gridCol w:w="1338"/>
        <w:gridCol w:w="1958"/>
      </w:tblGrid>
      <w:tr w:rsidR="0025223A">
        <w:tc>
          <w:tcPr>
            <w:tcW w:w="4279" w:type="dxa"/>
          </w:tcPr>
          <w:p w:rsidR="0025223A" w:rsidRDefault="00046525" w:rsidP="0025223A">
            <w:pPr>
              <w:pStyle w:val="Title"/>
              <w:ind w:left="0"/>
              <w:jc w:val="left"/>
              <w:rPr>
                <w:iCs/>
              </w:rPr>
            </w:pPr>
            <w:r>
              <w:rPr>
                <w:i w:val="0"/>
              </w:rPr>
              <w:t>Modernization and Repair TOT</w:t>
            </w:r>
            <w:r w:rsidR="0025223A">
              <w:rPr>
                <w:i w:val="0"/>
              </w:rPr>
              <w:t>AL</w:t>
            </w:r>
          </w:p>
        </w:tc>
        <w:tc>
          <w:tcPr>
            <w:tcW w:w="1281" w:type="dxa"/>
          </w:tcPr>
          <w:p w:rsidR="0025223A" w:rsidRDefault="0025223A" w:rsidP="0025223A">
            <w:pPr>
              <w:pStyle w:val="Title"/>
              <w:ind w:left="0"/>
              <w:rPr>
                <w:i w:val="0"/>
              </w:rPr>
            </w:pPr>
            <w:r>
              <w:rPr>
                <w:i w:val="0"/>
              </w:rPr>
              <w:t>Perm. Pos.</w:t>
            </w:r>
          </w:p>
        </w:tc>
        <w:tc>
          <w:tcPr>
            <w:tcW w:w="1338" w:type="dxa"/>
          </w:tcPr>
          <w:p w:rsidR="0025223A" w:rsidRDefault="0025223A" w:rsidP="0025223A">
            <w:pPr>
              <w:pStyle w:val="Title"/>
              <w:ind w:left="0"/>
              <w:rPr>
                <w:i w:val="0"/>
              </w:rPr>
            </w:pPr>
            <w:r>
              <w:rPr>
                <w:i w:val="0"/>
              </w:rPr>
              <w:t>FTE</w:t>
            </w:r>
          </w:p>
        </w:tc>
        <w:tc>
          <w:tcPr>
            <w:tcW w:w="1958" w:type="dxa"/>
          </w:tcPr>
          <w:p w:rsidR="0025223A" w:rsidRDefault="0025223A" w:rsidP="0084298E">
            <w:pPr>
              <w:pStyle w:val="Title"/>
              <w:ind w:left="0"/>
              <w:jc w:val="right"/>
              <w:rPr>
                <w:i w:val="0"/>
              </w:rPr>
            </w:pPr>
            <w:r>
              <w:rPr>
                <w:i w:val="0"/>
              </w:rPr>
              <w:t>Amount</w:t>
            </w:r>
          </w:p>
        </w:tc>
      </w:tr>
      <w:tr w:rsidR="0025223A">
        <w:tc>
          <w:tcPr>
            <w:tcW w:w="4279" w:type="dxa"/>
          </w:tcPr>
          <w:p w:rsidR="0025223A" w:rsidRDefault="0025223A" w:rsidP="00B77788">
            <w:pPr>
              <w:pStyle w:val="Title"/>
              <w:ind w:left="0"/>
              <w:jc w:val="left"/>
              <w:rPr>
                <w:b w:val="0"/>
                <w:bCs/>
                <w:i w:val="0"/>
              </w:rPr>
            </w:pPr>
            <w:r>
              <w:rPr>
                <w:b w:val="0"/>
                <w:bCs/>
                <w:i w:val="0"/>
              </w:rPr>
              <w:t>20</w:t>
            </w:r>
            <w:r w:rsidR="00B77788">
              <w:rPr>
                <w:b w:val="0"/>
                <w:bCs/>
                <w:i w:val="0"/>
              </w:rPr>
              <w:t>10</w:t>
            </w:r>
            <w:r>
              <w:rPr>
                <w:b w:val="0"/>
                <w:bCs/>
                <w:i w:val="0"/>
              </w:rPr>
              <w:t xml:space="preserve"> Enacted with Rescissions</w:t>
            </w:r>
          </w:p>
        </w:tc>
        <w:tc>
          <w:tcPr>
            <w:tcW w:w="1281" w:type="dxa"/>
            <w:vAlign w:val="center"/>
          </w:tcPr>
          <w:p w:rsidR="0025223A" w:rsidRDefault="000C33DA" w:rsidP="0025223A">
            <w:pPr>
              <w:pStyle w:val="Title"/>
              <w:ind w:left="0"/>
              <w:rPr>
                <w:b w:val="0"/>
                <w:bCs/>
                <w:i w:val="0"/>
              </w:rPr>
            </w:pPr>
            <w:r>
              <w:rPr>
                <w:b w:val="0"/>
                <w:bCs/>
                <w:i w:val="0"/>
              </w:rPr>
              <w:t>141</w:t>
            </w:r>
          </w:p>
        </w:tc>
        <w:tc>
          <w:tcPr>
            <w:tcW w:w="1338" w:type="dxa"/>
            <w:vAlign w:val="center"/>
          </w:tcPr>
          <w:p w:rsidR="0025223A" w:rsidRDefault="000C33DA" w:rsidP="0025223A">
            <w:pPr>
              <w:pStyle w:val="Title"/>
              <w:ind w:left="0"/>
              <w:rPr>
                <w:b w:val="0"/>
                <w:bCs/>
                <w:i w:val="0"/>
              </w:rPr>
            </w:pPr>
            <w:r>
              <w:rPr>
                <w:b w:val="0"/>
                <w:bCs/>
                <w:i w:val="0"/>
              </w:rPr>
              <w:t>143</w:t>
            </w:r>
          </w:p>
        </w:tc>
        <w:tc>
          <w:tcPr>
            <w:tcW w:w="1958" w:type="dxa"/>
            <w:vAlign w:val="center"/>
          </w:tcPr>
          <w:p w:rsidR="0025223A" w:rsidRDefault="00B77788" w:rsidP="00B77788">
            <w:pPr>
              <w:pStyle w:val="Title"/>
              <w:ind w:left="0"/>
              <w:jc w:val="right"/>
              <w:rPr>
                <w:b w:val="0"/>
                <w:bCs/>
                <w:i w:val="0"/>
              </w:rPr>
            </w:pPr>
            <w:r>
              <w:rPr>
                <w:b w:val="0"/>
                <w:bCs/>
                <w:i w:val="0"/>
              </w:rPr>
              <w:t>73</w:t>
            </w:r>
            <w:r w:rsidR="000C33DA">
              <w:rPr>
                <w:b w:val="0"/>
                <w:bCs/>
                <w:i w:val="0"/>
              </w:rPr>
              <w:t>,</w:t>
            </w:r>
            <w:r>
              <w:rPr>
                <w:b w:val="0"/>
                <w:bCs/>
                <w:i w:val="0"/>
              </w:rPr>
              <w:t>769</w:t>
            </w:r>
          </w:p>
        </w:tc>
      </w:tr>
      <w:tr w:rsidR="0025223A">
        <w:tc>
          <w:tcPr>
            <w:tcW w:w="4279" w:type="dxa"/>
          </w:tcPr>
          <w:p w:rsidR="0025223A" w:rsidRDefault="0025223A" w:rsidP="00CC3FD0">
            <w:pPr>
              <w:pStyle w:val="Title"/>
              <w:ind w:left="0"/>
              <w:jc w:val="left"/>
              <w:rPr>
                <w:b w:val="0"/>
                <w:bCs/>
                <w:i w:val="0"/>
              </w:rPr>
            </w:pPr>
            <w:r>
              <w:rPr>
                <w:b w:val="0"/>
                <w:bCs/>
                <w:i w:val="0"/>
              </w:rPr>
              <w:t xml:space="preserve">  20</w:t>
            </w:r>
            <w:r w:rsidR="00B77788">
              <w:rPr>
                <w:b w:val="0"/>
                <w:bCs/>
                <w:i w:val="0"/>
              </w:rPr>
              <w:t>10</w:t>
            </w:r>
            <w:r>
              <w:rPr>
                <w:b w:val="0"/>
                <w:bCs/>
                <w:i w:val="0"/>
              </w:rPr>
              <w:t xml:space="preserve"> Supplemental </w:t>
            </w:r>
          </w:p>
        </w:tc>
        <w:tc>
          <w:tcPr>
            <w:tcW w:w="1281" w:type="dxa"/>
            <w:vAlign w:val="center"/>
          </w:tcPr>
          <w:p w:rsidR="0025223A" w:rsidRDefault="000C33DA" w:rsidP="0025223A">
            <w:pPr>
              <w:pStyle w:val="Title"/>
              <w:ind w:left="0"/>
              <w:rPr>
                <w:b w:val="0"/>
                <w:bCs/>
                <w:i w:val="0"/>
              </w:rPr>
            </w:pPr>
            <w:r>
              <w:rPr>
                <w:b w:val="0"/>
                <w:bCs/>
                <w:i w:val="0"/>
              </w:rPr>
              <w:t>0</w:t>
            </w:r>
          </w:p>
        </w:tc>
        <w:tc>
          <w:tcPr>
            <w:tcW w:w="1338" w:type="dxa"/>
            <w:vAlign w:val="center"/>
          </w:tcPr>
          <w:p w:rsidR="0025223A" w:rsidRDefault="000C33DA" w:rsidP="0025223A">
            <w:pPr>
              <w:pStyle w:val="Title"/>
              <w:ind w:left="0"/>
              <w:rPr>
                <w:b w:val="0"/>
                <w:bCs/>
                <w:i w:val="0"/>
              </w:rPr>
            </w:pPr>
            <w:r>
              <w:rPr>
                <w:b w:val="0"/>
                <w:bCs/>
                <w:i w:val="0"/>
              </w:rPr>
              <w:t>0</w:t>
            </w:r>
          </w:p>
        </w:tc>
        <w:tc>
          <w:tcPr>
            <w:tcW w:w="1958" w:type="dxa"/>
            <w:vAlign w:val="center"/>
          </w:tcPr>
          <w:p w:rsidR="0025223A" w:rsidRDefault="000C33DA" w:rsidP="0084298E">
            <w:pPr>
              <w:pStyle w:val="Title"/>
              <w:ind w:left="0"/>
              <w:jc w:val="right"/>
              <w:rPr>
                <w:b w:val="0"/>
                <w:bCs/>
                <w:i w:val="0"/>
              </w:rPr>
            </w:pPr>
            <w:r>
              <w:rPr>
                <w:b w:val="0"/>
                <w:bCs/>
                <w:i w:val="0"/>
              </w:rPr>
              <w:t>0</w:t>
            </w:r>
          </w:p>
        </w:tc>
      </w:tr>
      <w:tr w:rsidR="0025223A">
        <w:tc>
          <w:tcPr>
            <w:tcW w:w="4279" w:type="dxa"/>
          </w:tcPr>
          <w:p w:rsidR="0025223A" w:rsidRDefault="0025223A" w:rsidP="00B77788">
            <w:pPr>
              <w:pStyle w:val="Title"/>
              <w:ind w:left="0"/>
              <w:jc w:val="left"/>
              <w:rPr>
                <w:b w:val="0"/>
                <w:bCs/>
                <w:i w:val="0"/>
              </w:rPr>
            </w:pPr>
            <w:r>
              <w:rPr>
                <w:b w:val="0"/>
                <w:bCs/>
                <w:i w:val="0"/>
              </w:rPr>
              <w:t>20</w:t>
            </w:r>
            <w:r w:rsidR="00B77788">
              <w:rPr>
                <w:b w:val="0"/>
                <w:bCs/>
                <w:i w:val="0"/>
              </w:rPr>
              <w:t>10</w:t>
            </w:r>
            <w:r>
              <w:rPr>
                <w:b w:val="0"/>
                <w:bCs/>
                <w:i w:val="0"/>
              </w:rPr>
              <w:t xml:space="preserve"> Enacted w/Rescissions &amp; Supps.</w:t>
            </w:r>
          </w:p>
        </w:tc>
        <w:tc>
          <w:tcPr>
            <w:tcW w:w="1281" w:type="dxa"/>
            <w:vAlign w:val="center"/>
          </w:tcPr>
          <w:p w:rsidR="0025223A" w:rsidRDefault="000C33DA" w:rsidP="0025223A">
            <w:pPr>
              <w:pStyle w:val="Title"/>
              <w:ind w:left="0"/>
              <w:rPr>
                <w:b w:val="0"/>
                <w:bCs/>
                <w:i w:val="0"/>
              </w:rPr>
            </w:pPr>
            <w:r>
              <w:rPr>
                <w:b w:val="0"/>
                <w:bCs/>
                <w:i w:val="0"/>
              </w:rPr>
              <w:t>141</w:t>
            </w:r>
          </w:p>
        </w:tc>
        <w:tc>
          <w:tcPr>
            <w:tcW w:w="1338" w:type="dxa"/>
            <w:vAlign w:val="center"/>
          </w:tcPr>
          <w:p w:rsidR="0025223A" w:rsidRDefault="000C33DA" w:rsidP="0025223A">
            <w:pPr>
              <w:pStyle w:val="Title"/>
              <w:ind w:left="0"/>
              <w:rPr>
                <w:b w:val="0"/>
                <w:bCs/>
                <w:i w:val="0"/>
              </w:rPr>
            </w:pPr>
            <w:r>
              <w:rPr>
                <w:b w:val="0"/>
                <w:bCs/>
                <w:i w:val="0"/>
              </w:rPr>
              <w:t>143</w:t>
            </w:r>
          </w:p>
        </w:tc>
        <w:tc>
          <w:tcPr>
            <w:tcW w:w="1958" w:type="dxa"/>
            <w:vAlign w:val="center"/>
          </w:tcPr>
          <w:p w:rsidR="0025223A" w:rsidRDefault="00B77788" w:rsidP="00B77788">
            <w:pPr>
              <w:pStyle w:val="Title"/>
              <w:ind w:left="0"/>
              <w:jc w:val="right"/>
              <w:rPr>
                <w:b w:val="0"/>
                <w:bCs/>
                <w:i w:val="0"/>
              </w:rPr>
            </w:pPr>
            <w:r>
              <w:rPr>
                <w:b w:val="0"/>
                <w:bCs/>
                <w:i w:val="0"/>
              </w:rPr>
              <w:t>73</w:t>
            </w:r>
            <w:r w:rsidR="000C33DA">
              <w:rPr>
                <w:b w:val="0"/>
                <w:bCs/>
                <w:i w:val="0"/>
              </w:rPr>
              <w:t>,</w:t>
            </w:r>
            <w:r>
              <w:rPr>
                <w:b w:val="0"/>
                <w:bCs/>
                <w:i w:val="0"/>
              </w:rPr>
              <w:t>769</w:t>
            </w:r>
          </w:p>
        </w:tc>
      </w:tr>
      <w:tr w:rsidR="0025223A">
        <w:tc>
          <w:tcPr>
            <w:tcW w:w="4279" w:type="dxa"/>
          </w:tcPr>
          <w:p w:rsidR="0025223A" w:rsidRDefault="0025223A" w:rsidP="00185458">
            <w:pPr>
              <w:pStyle w:val="Title"/>
              <w:ind w:left="0"/>
              <w:jc w:val="left"/>
              <w:rPr>
                <w:b w:val="0"/>
                <w:bCs/>
                <w:i w:val="0"/>
              </w:rPr>
            </w:pPr>
            <w:r>
              <w:rPr>
                <w:b w:val="0"/>
                <w:bCs/>
                <w:i w:val="0"/>
              </w:rPr>
              <w:t>20</w:t>
            </w:r>
            <w:r w:rsidR="00EA70CE">
              <w:rPr>
                <w:b w:val="0"/>
                <w:bCs/>
                <w:i w:val="0"/>
              </w:rPr>
              <w:t>1</w:t>
            </w:r>
            <w:r w:rsidR="00B77788">
              <w:rPr>
                <w:b w:val="0"/>
                <w:bCs/>
                <w:i w:val="0"/>
              </w:rPr>
              <w:t>1</w:t>
            </w:r>
            <w:r w:rsidR="00EA70CE">
              <w:rPr>
                <w:b w:val="0"/>
                <w:bCs/>
                <w:i w:val="0"/>
              </w:rPr>
              <w:t xml:space="preserve"> </w:t>
            </w:r>
            <w:r w:rsidR="00185458">
              <w:rPr>
                <w:b w:val="0"/>
                <w:bCs/>
                <w:i w:val="0"/>
              </w:rPr>
              <w:t>CR</w:t>
            </w:r>
          </w:p>
        </w:tc>
        <w:tc>
          <w:tcPr>
            <w:tcW w:w="1281" w:type="dxa"/>
            <w:vAlign w:val="center"/>
          </w:tcPr>
          <w:p w:rsidR="0025223A" w:rsidRDefault="000C33DA" w:rsidP="0025223A">
            <w:pPr>
              <w:pStyle w:val="Title"/>
              <w:ind w:left="0"/>
              <w:rPr>
                <w:b w:val="0"/>
                <w:bCs/>
                <w:i w:val="0"/>
              </w:rPr>
            </w:pPr>
            <w:r>
              <w:rPr>
                <w:b w:val="0"/>
                <w:bCs/>
                <w:i w:val="0"/>
              </w:rPr>
              <w:t>141</w:t>
            </w:r>
          </w:p>
        </w:tc>
        <w:tc>
          <w:tcPr>
            <w:tcW w:w="1338" w:type="dxa"/>
            <w:vAlign w:val="center"/>
          </w:tcPr>
          <w:p w:rsidR="0025223A" w:rsidRDefault="000C33DA" w:rsidP="00185458">
            <w:pPr>
              <w:pStyle w:val="Title"/>
              <w:ind w:left="0"/>
              <w:rPr>
                <w:b w:val="0"/>
                <w:bCs/>
                <w:i w:val="0"/>
              </w:rPr>
            </w:pPr>
            <w:r>
              <w:rPr>
                <w:b w:val="0"/>
                <w:bCs/>
                <w:i w:val="0"/>
              </w:rPr>
              <w:t>14</w:t>
            </w:r>
            <w:r w:rsidR="00185458">
              <w:rPr>
                <w:b w:val="0"/>
                <w:bCs/>
                <w:i w:val="0"/>
              </w:rPr>
              <w:t>3</w:t>
            </w:r>
          </w:p>
        </w:tc>
        <w:tc>
          <w:tcPr>
            <w:tcW w:w="1958" w:type="dxa"/>
            <w:vAlign w:val="center"/>
          </w:tcPr>
          <w:p w:rsidR="0025223A" w:rsidRDefault="00A66F3E" w:rsidP="00185458">
            <w:pPr>
              <w:pStyle w:val="Title"/>
              <w:ind w:left="0"/>
              <w:jc w:val="right"/>
              <w:rPr>
                <w:b w:val="0"/>
                <w:bCs/>
                <w:i w:val="0"/>
              </w:rPr>
            </w:pPr>
            <w:r>
              <w:rPr>
                <w:b w:val="0"/>
                <w:bCs/>
                <w:i w:val="0"/>
              </w:rPr>
              <w:t xml:space="preserve">  </w:t>
            </w:r>
            <w:r w:rsidR="000C33DA">
              <w:rPr>
                <w:b w:val="0"/>
                <w:bCs/>
                <w:i w:val="0"/>
              </w:rPr>
              <w:t>7</w:t>
            </w:r>
            <w:r w:rsidR="00185458">
              <w:rPr>
                <w:b w:val="0"/>
                <w:bCs/>
                <w:i w:val="0"/>
              </w:rPr>
              <w:t>3</w:t>
            </w:r>
            <w:r w:rsidR="000C33DA">
              <w:rPr>
                <w:b w:val="0"/>
                <w:bCs/>
                <w:i w:val="0"/>
              </w:rPr>
              <w:t>,</w:t>
            </w:r>
            <w:r w:rsidR="00185458">
              <w:rPr>
                <w:b w:val="0"/>
                <w:bCs/>
                <w:i w:val="0"/>
              </w:rPr>
              <w:t>769</w:t>
            </w:r>
          </w:p>
        </w:tc>
      </w:tr>
      <w:tr w:rsidR="0025223A">
        <w:tc>
          <w:tcPr>
            <w:tcW w:w="4279" w:type="dxa"/>
          </w:tcPr>
          <w:p w:rsidR="0025223A" w:rsidRDefault="0025223A" w:rsidP="0025223A">
            <w:pPr>
              <w:pStyle w:val="Title"/>
              <w:ind w:left="0"/>
              <w:jc w:val="left"/>
              <w:rPr>
                <w:b w:val="0"/>
                <w:bCs/>
                <w:i w:val="0"/>
              </w:rPr>
            </w:pPr>
            <w:r>
              <w:rPr>
                <w:b w:val="0"/>
                <w:bCs/>
                <w:i w:val="0"/>
              </w:rPr>
              <w:t>Adjustments to Base and Tech. Adj.</w:t>
            </w:r>
          </w:p>
        </w:tc>
        <w:tc>
          <w:tcPr>
            <w:tcW w:w="1281" w:type="dxa"/>
            <w:vAlign w:val="center"/>
          </w:tcPr>
          <w:p w:rsidR="0025223A" w:rsidRDefault="00A06539" w:rsidP="0025223A">
            <w:pPr>
              <w:pStyle w:val="Title"/>
              <w:ind w:left="0"/>
              <w:rPr>
                <w:b w:val="0"/>
                <w:bCs/>
                <w:i w:val="0"/>
              </w:rPr>
            </w:pPr>
            <w:r>
              <w:rPr>
                <w:b w:val="0"/>
                <w:bCs/>
                <w:i w:val="0"/>
              </w:rPr>
              <w:t>0</w:t>
            </w:r>
          </w:p>
        </w:tc>
        <w:tc>
          <w:tcPr>
            <w:tcW w:w="1338" w:type="dxa"/>
            <w:vAlign w:val="center"/>
          </w:tcPr>
          <w:p w:rsidR="0025223A" w:rsidRDefault="00185458" w:rsidP="0025223A">
            <w:pPr>
              <w:pStyle w:val="Title"/>
              <w:ind w:left="0"/>
              <w:rPr>
                <w:b w:val="0"/>
                <w:bCs/>
                <w:i w:val="0"/>
              </w:rPr>
            </w:pPr>
            <w:r>
              <w:rPr>
                <w:b w:val="0"/>
                <w:bCs/>
                <w:i w:val="0"/>
              </w:rPr>
              <w:t>(2)</w:t>
            </w:r>
          </w:p>
        </w:tc>
        <w:tc>
          <w:tcPr>
            <w:tcW w:w="1958" w:type="dxa"/>
            <w:vAlign w:val="center"/>
          </w:tcPr>
          <w:p w:rsidR="0025223A" w:rsidRDefault="00185458" w:rsidP="00185458">
            <w:pPr>
              <w:pStyle w:val="Title"/>
              <w:ind w:left="0"/>
              <w:jc w:val="right"/>
              <w:rPr>
                <w:b w:val="0"/>
                <w:bCs/>
                <w:i w:val="0"/>
              </w:rPr>
            </w:pPr>
            <w:r>
              <w:rPr>
                <w:b w:val="0"/>
                <w:bCs/>
                <w:i w:val="0"/>
              </w:rPr>
              <w:t>186</w:t>
            </w:r>
            <w:r w:rsidR="00A66F3E">
              <w:rPr>
                <w:b w:val="0"/>
                <w:bCs/>
                <w:i w:val="0"/>
              </w:rPr>
              <w:t xml:space="preserve">     </w:t>
            </w:r>
          </w:p>
        </w:tc>
      </w:tr>
      <w:tr w:rsidR="0025223A">
        <w:tc>
          <w:tcPr>
            <w:tcW w:w="4279" w:type="dxa"/>
          </w:tcPr>
          <w:p w:rsidR="0025223A" w:rsidRDefault="0025223A" w:rsidP="0025223A">
            <w:pPr>
              <w:pStyle w:val="Title"/>
              <w:ind w:left="0"/>
              <w:jc w:val="left"/>
              <w:rPr>
                <w:b w:val="0"/>
                <w:bCs/>
                <w:i w:val="0"/>
              </w:rPr>
            </w:pPr>
            <w:r>
              <w:rPr>
                <w:b w:val="0"/>
                <w:bCs/>
                <w:i w:val="0"/>
              </w:rPr>
              <w:t>201</w:t>
            </w:r>
            <w:r w:rsidR="00B77788">
              <w:rPr>
                <w:b w:val="0"/>
                <w:bCs/>
                <w:i w:val="0"/>
              </w:rPr>
              <w:t>2</w:t>
            </w:r>
            <w:r>
              <w:rPr>
                <w:b w:val="0"/>
                <w:bCs/>
                <w:i w:val="0"/>
              </w:rPr>
              <w:t xml:space="preserve"> Current Services</w:t>
            </w:r>
          </w:p>
        </w:tc>
        <w:tc>
          <w:tcPr>
            <w:tcW w:w="1281" w:type="dxa"/>
            <w:vAlign w:val="center"/>
          </w:tcPr>
          <w:p w:rsidR="0025223A" w:rsidRDefault="00A06539" w:rsidP="0025223A">
            <w:pPr>
              <w:pStyle w:val="Title"/>
              <w:ind w:left="0"/>
              <w:rPr>
                <w:b w:val="0"/>
                <w:bCs/>
                <w:i w:val="0"/>
              </w:rPr>
            </w:pPr>
            <w:r>
              <w:rPr>
                <w:b w:val="0"/>
                <w:bCs/>
                <w:i w:val="0"/>
              </w:rPr>
              <w:t>141</w:t>
            </w:r>
          </w:p>
        </w:tc>
        <w:tc>
          <w:tcPr>
            <w:tcW w:w="1338" w:type="dxa"/>
            <w:vAlign w:val="center"/>
          </w:tcPr>
          <w:p w:rsidR="0025223A" w:rsidRDefault="00A06539" w:rsidP="0025223A">
            <w:pPr>
              <w:pStyle w:val="Title"/>
              <w:ind w:left="0"/>
              <w:rPr>
                <w:b w:val="0"/>
                <w:bCs/>
                <w:i w:val="0"/>
              </w:rPr>
            </w:pPr>
            <w:r>
              <w:rPr>
                <w:b w:val="0"/>
                <w:bCs/>
                <w:i w:val="0"/>
              </w:rPr>
              <w:t>141</w:t>
            </w:r>
          </w:p>
        </w:tc>
        <w:tc>
          <w:tcPr>
            <w:tcW w:w="1958" w:type="dxa"/>
            <w:vAlign w:val="center"/>
          </w:tcPr>
          <w:p w:rsidR="0025223A" w:rsidRDefault="00CC3FD0" w:rsidP="00185458">
            <w:pPr>
              <w:pStyle w:val="Title"/>
              <w:ind w:left="0"/>
              <w:jc w:val="right"/>
              <w:rPr>
                <w:b w:val="0"/>
                <w:bCs/>
                <w:i w:val="0"/>
              </w:rPr>
            </w:pPr>
            <w:r>
              <w:rPr>
                <w:b w:val="0"/>
                <w:bCs/>
                <w:i w:val="0"/>
              </w:rPr>
              <w:t>7</w:t>
            </w:r>
            <w:r w:rsidR="00185458">
              <w:rPr>
                <w:b w:val="0"/>
                <w:bCs/>
                <w:i w:val="0"/>
              </w:rPr>
              <w:t>3</w:t>
            </w:r>
            <w:r>
              <w:rPr>
                <w:b w:val="0"/>
                <w:bCs/>
                <w:i w:val="0"/>
              </w:rPr>
              <w:t>,</w:t>
            </w:r>
            <w:r w:rsidR="00185458">
              <w:rPr>
                <w:b w:val="0"/>
                <w:bCs/>
                <w:i w:val="0"/>
              </w:rPr>
              <w:t>955</w:t>
            </w:r>
            <w:r w:rsidR="00A66F3E">
              <w:rPr>
                <w:b w:val="0"/>
                <w:bCs/>
                <w:i w:val="0"/>
              </w:rPr>
              <w:t xml:space="preserve">  </w:t>
            </w:r>
          </w:p>
        </w:tc>
      </w:tr>
      <w:tr w:rsidR="0025223A">
        <w:tc>
          <w:tcPr>
            <w:tcW w:w="4279" w:type="dxa"/>
          </w:tcPr>
          <w:p w:rsidR="0025223A" w:rsidRDefault="0025223A" w:rsidP="0025223A">
            <w:pPr>
              <w:pStyle w:val="Title"/>
              <w:ind w:left="0"/>
              <w:jc w:val="left"/>
              <w:rPr>
                <w:b w:val="0"/>
                <w:bCs/>
                <w:i w:val="0"/>
              </w:rPr>
            </w:pPr>
            <w:r>
              <w:rPr>
                <w:b w:val="0"/>
                <w:bCs/>
                <w:i w:val="0"/>
              </w:rPr>
              <w:t>201</w:t>
            </w:r>
            <w:r w:rsidR="00B77788">
              <w:rPr>
                <w:b w:val="0"/>
                <w:bCs/>
                <w:i w:val="0"/>
              </w:rPr>
              <w:t>2</w:t>
            </w:r>
            <w:r>
              <w:rPr>
                <w:b w:val="0"/>
                <w:bCs/>
                <w:i w:val="0"/>
              </w:rPr>
              <w:t xml:space="preserve"> Request</w:t>
            </w:r>
          </w:p>
        </w:tc>
        <w:tc>
          <w:tcPr>
            <w:tcW w:w="1281" w:type="dxa"/>
            <w:vAlign w:val="center"/>
          </w:tcPr>
          <w:p w:rsidR="0025223A" w:rsidRDefault="00A06539" w:rsidP="0025223A">
            <w:pPr>
              <w:pStyle w:val="Title"/>
              <w:ind w:left="0"/>
              <w:rPr>
                <w:b w:val="0"/>
                <w:bCs/>
                <w:i w:val="0"/>
              </w:rPr>
            </w:pPr>
            <w:r>
              <w:rPr>
                <w:b w:val="0"/>
                <w:bCs/>
                <w:i w:val="0"/>
              </w:rPr>
              <w:t>141</w:t>
            </w:r>
          </w:p>
        </w:tc>
        <w:tc>
          <w:tcPr>
            <w:tcW w:w="1338" w:type="dxa"/>
            <w:vAlign w:val="center"/>
          </w:tcPr>
          <w:p w:rsidR="0025223A" w:rsidRDefault="00A06539" w:rsidP="0025223A">
            <w:pPr>
              <w:pStyle w:val="Title"/>
              <w:ind w:left="0"/>
              <w:rPr>
                <w:b w:val="0"/>
                <w:bCs/>
                <w:i w:val="0"/>
              </w:rPr>
            </w:pPr>
            <w:r>
              <w:rPr>
                <w:b w:val="0"/>
                <w:bCs/>
                <w:i w:val="0"/>
              </w:rPr>
              <w:t>141</w:t>
            </w:r>
          </w:p>
        </w:tc>
        <w:tc>
          <w:tcPr>
            <w:tcW w:w="1958" w:type="dxa"/>
            <w:vAlign w:val="center"/>
          </w:tcPr>
          <w:p w:rsidR="0025223A" w:rsidRDefault="00CC3FD0" w:rsidP="00185458">
            <w:pPr>
              <w:pStyle w:val="Title"/>
              <w:ind w:left="0"/>
              <w:jc w:val="right"/>
              <w:rPr>
                <w:b w:val="0"/>
                <w:bCs/>
                <w:i w:val="0"/>
              </w:rPr>
            </w:pPr>
            <w:r>
              <w:rPr>
                <w:b w:val="0"/>
                <w:bCs/>
                <w:i w:val="0"/>
              </w:rPr>
              <w:t>7</w:t>
            </w:r>
            <w:r w:rsidR="00185458">
              <w:rPr>
                <w:b w:val="0"/>
                <w:bCs/>
                <w:i w:val="0"/>
              </w:rPr>
              <w:t>3</w:t>
            </w:r>
            <w:r w:rsidR="00A06539">
              <w:rPr>
                <w:b w:val="0"/>
                <w:bCs/>
                <w:i w:val="0"/>
              </w:rPr>
              <w:t>,</w:t>
            </w:r>
            <w:r w:rsidR="00185458">
              <w:rPr>
                <w:b w:val="0"/>
                <w:bCs/>
                <w:i w:val="0"/>
              </w:rPr>
              <w:t>955</w:t>
            </w:r>
          </w:p>
        </w:tc>
      </w:tr>
      <w:tr w:rsidR="0025223A" w:rsidTr="00E648C8">
        <w:trPr>
          <w:trHeight w:val="260"/>
        </w:trPr>
        <w:tc>
          <w:tcPr>
            <w:tcW w:w="4279" w:type="dxa"/>
            <w:shd w:val="clear" w:color="auto" w:fill="C0C0C0"/>
          </w:tcPr>
          <w:p w:rsidR="0025223A" w:rsidRDefault="0025223A" w:rsidP="00B77788">
            <w:pPr>
              <w:pStyle w:val="Title"/>
              <w:ind w:left="0"/>
              <w:jc w:val="left"/>
              <w:rPr>
                <w:b w:val="0"/>
                <w:bCs/>
                <w:i w:val="0"/>
              </w:rPr>
            </w:pPr>
            <w:r>
              <w:rPr>
                <w:i w:val="0"/>
              </w:rPr>
              <w:t>Total Change 20</w:t>
            </w:r>
            <w:r w:rsidR="00EA70CE">
              <w:rPr>
                <w:i w:val="0"/>
              </w:rPr>
              <w:t>1</w:t>
            </w:r>
            <w:r w:rsidR="00B77788">
              <w:rPr>
                <w:i w:val="0"/>
              </w:rPr>
              <w:t>1</w:t>
            </w:r>
            <w:r>
              <w:rPr>
                <w:i w:val="0"/>
              </w:rPr>
              <w:t>-201</w:t>
            </w:r>
            <w:r w:rsidR="00B77788">
              <w:rPr>
                <w:i w:val="0"/>
              </w:rPr>
              <w:t>2</w:t>
            </w:r>
          </w:p>
        </w:tc>
        <w:tc>
          <w:tcPr>
            <w:tcW w:w="1281" w:type="dxa"/>
            <w:shd w:val="clear" w:color="auto" w:fill="C0C0C0"/>
            <w:vAlign w:val="center"/>
          </w:tcPr>
          <w:p w:rsidR="0025223A" w:rsidRDefault="00A06539" w:rsidP="0025223A">
            <w:pPr>
              <w:pStyle w:val="Title"/>
              <w:ind w:left="0"/>
              <w:rPr>
                <w:i w:val="0"/>
              </w:rPr>
            </w:pPr>
            <w:r>
              <w:rPr>
                <w:i w:val="0"/>
              </w:rPr>
              <w:t>0</w:t>
            </w:r>
          </w:p>
        </w:tc>
        <w:tc>
          <w:tcPr>
            <w:tcW w:w="1338" w:type="dxa"/>
            <w:shd w:val="clear" w:color="auto" w:fill="C0C0C0"/>
            <w:vAlign w:val="center"/>
          </w:tcPr>
          <w:p w:rsidR="0025223A" w:rsidRDefault="00185458" w:rsidP="0025223A">
            <w:pPr>
              <w:pStyle w:val="Title"/>
              <w:ind w:left="0"/>
              <w:rPr>
                <w:i w:val="0"/>
              </w:rPr>
            </w:pPr>
            <w:r>
              <w:rPr>
                <w:i w:val="0"/>
              </w:rPr>
              <w:t>(2)</w:t>
            </w:r>
          </w:p>
        </w:tc>
        <w:tc>
          <w:tcPr>
            <w:tcW w:w="1958" w:type="dxa"/>
            <w:shd w:val="clear" w:color="auto" w:fill="C0C0C0"/>
            <w:vAlign w:val="center"/>
          </w:tcPr>
          <w:p w:rsidR="0025223A" w:rsidRDefault="0084298E" w:rsidP="00185458">
            <w:pPr>
              <w:pStyle w:val="Title"/>
              <w:ind w:left="0"/>
              <w:jc w:val="right"/>
              <w:rPr>
                <w:i w:val="0"/>
              </w:rPr>
            </w:pPr>
            <w:r>
              <w:rPr>
                <w:i w:val="0"/>
              </w:rPr>
              <w:t>$</w:t>
            </w:r>
            <w:r w:rsidR="00185458">
              <w:rPr>
                <w:i w:val="0"/>
              </w:rPr>
              <w:t>186</w:t>
            </w:r>
          </w:p>
        </w:tc>
      </w:tr>
    </w:tbl>
    <w:p w:rsidR="0025223A" w:rsidRDefault="0025223A" w:rsidP="006B7100">
      <w:pPr>
        <w:pStyle w:val="xl19"/>
        <w:spacing w:before="0" w:after="0"/>
        <w:rPr>
          <w:b/>
        </w:rPr>
      </w:pPr>
    </w:p>
    <w:p w:rsidR="00820523" w:rsidRDefault="00820523" w:rsidP="006B7100">
      <w:pPr>
        <w:pStyle w:val="xl19"/>
        <w:spacing w:before="0" w:after="0"/>
        <w:rPr>
          <w:b/>
        </w:rPr>
      </w:pPr>
      <w:r>
        <w:rPr>
          <w:b/>
        </w:rPr>
        <w:t>No Information Technology for this program.</w:t>
      </w:r>
    </w:p>
    <w:p w:rsidR="006B7100" w:rsidRDefault="006B7100" w:rsidP="006B7100">
      <w:pPr>
        <w:pStyle w:val="xl19"/>
        <w:spacing w:before="0" w:after="0"/>
      </w:pPr>
    </w:p>
    <w:p w:rsidR="004D3D2F" w:rsidRDefault="004D3D2F" w:rsidP="007E346D">
      <w:pPr>
        <w:pStyle w:val="xl19"/>
        <w:spacing w:before="0" w:after="0"/>
        <w:rPr>
          <w:rFonts w:eastAsia="Times New Roman" w:cs="Arial"/>
          <w:b/>
          <w:szCs w:val="24"/>
        </w:rPr>
      </w:pPr>
      <w:r>
        <w:rPr>
          <w:rFonts w:eastAsia="Times New Roman" w:cs="Arial"/>
          <w:b/>
          <w:szCs w:val="24"/>
        </w:rPr>
        <w:t>1.  Program Description</w:t>
      </w:r>
    </w:p>
    <w:p w:rsidR="004D3D2F" w:rsidRDefault="004D3D2F" w:rsidP="007E346D">
      <w:pPr>
        <w:pStyle w:val="xl19"/>
        <w:spacing w:before="0" w:after="0"/>
        <w:rPr>
          <w:rFonts w:eastAsia="Times New Roman" w:cs="Arial"/>
          <w:b/>
          <w:szCs w:val="24"/>
        </w:rPr>
      </w:pPr>
    </w:p>
    <w:p w:rsidR="007E346D" w:rsidRPr="004D3D2F" w:rsidRDefault="007E346D" w:rsidP="007E346D">
      <w:pPr>
        <w:pStyle w:val="xl19"/>
        <w:spacing w:before="0" w:after="0"/>
        <w:rPr>
          <w:rFonts w:eastAsia="Times New Roman" w:cs="Arial"/>
          <w:b/>
          <w:szCs w:val="24"/>
          <w:u w:val="single"/>
        </w:rPr>
      </w:pPr>
      <w:r w:rsidRPr="004D3D2F">
        <w:rPr>
          <w:rFonts w:eastAsia="Times New Roman" w:cs="Arial"/>
          <w:b/>
          <w:szCs w:val="24"/>
          <w:u w:val="single"/>
        </w:rPr>
        <w:t>Modernization and Repair</w:t>
      </w:r>
    </w:p>
    <w:p w:rsidR="007E346D" w:rsidRPr="004D3D2F" w:rsidRDefault="007E346D" w:rsidP="007E346D">
      <w:pPr>
        <w:pStyle w:val="xl19"/>
        <w:spacing w:before="0" w:after="0"/>
        <w:rPr>
          <w:rFonts w:eastAsia="Times New Roman" w:cs="Arial"/>
          <w:b/>
          <w:szCs w:val="24"/>
          <w:u w:val="single"/>
        </w:rPr>
      </w:pPr>
    </w:p>
    <w:p w:rsidR="0028595B" w:rsidRDefault="00D0317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FY 201</w:t>
      </w:r>
      <w:r w:rsidR="00B77788">
        <w:t>2</w:t>
      </w:r>
      <w:r>
        <w:t>, a total of $</w:t>
      </w:r>
      <w:r w:rsidR="00CC3FD0">
        <w:t>7</w:t>
      </w:r>
      <w:r w:rsidR="00185458">
        <w:t>3</w:t>
      </w:r>
      <w:r w:rsidR="00CC3FD0">
        <w:t>,</w:t>
      </w:r>
      <w:r w:rsidR="00185458">
        <w:t>955</w:t>
      </w:r>
      <w:r>
        <w:t>,000 is requested for t</w:t>
      </w:r>
      <w:r w:rsidR="0028595B">
        <w:t>he Modernization and Repair (M&amp;R) program</w:t>
      </w:r>
      <w:r>
        <w:t>.  This program</w:t>
      </w:r>
      <w:r w:rsidR="0028595B">
        <w:t xml:space="preserve"> </w:t>
      </w:r>
      <w:r w:rsidR="00A75FBE">
        <w:t>is intended to provide</w:t>
      </w:r>
      <w:r w:rsidR="0028595B">
        <w:t xml:space="preserve"> the </w:t>
      </w:r>
      <w:r w:rsidR="00767B6A">
        <w:t xml:space="preserve">base </w:t>
      </w:r>
      <w:r w:rsidR="0028595B">
        <w:t xml:space="preserve">resources to undertake essential rehabilitation, modernization and renovation of buildings, other structures, and associated systems, necessary modifications to meet legal requirements and accommodate correctional programs, repair or replacement of utilities systems and other critical infrastructure and repair projects at existing institutions in order to keep all systems and structures in a good state of repair.  Proper maintenance, modernization, and repair of BOP institutions </w:t>
      </w:r>
      <w:r w:rsidR="001F45DC">
        <w:t>are</w:t>
      </w:r>
      <w:r w:rsidR="0028595B">
        <w:t xml:space="preserve"> essential.  Failure to adequately maintain structures and utility systems erodes capital investment and multiplies the costs in future years for accomplishing the required maintenance and repair.  Most important, failure to maintain structures can cause direct and/or indirect security problems.</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Most maintenance and repair projects are performed using inmate work crews.  This provides instructional work for inmates and labor for the work to be performed.  Inmate work crews require staff supervision to direct the work being performed and for obvious security reasons. </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D0317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Almost o</w:t>
      </w:r>
      <w:r w:rsidR="00AE02BC">
        <w:t>ne</w:t>
      </w:r>
      <w:r w:rsidR="00B44239">
        <w:t>-third o</w:t>
      </w:r>
      <w:r w:rsidR="0028595B">
        <w:t>f the BOP’s 11</w:t>
      </w:r>
      <w:r w:rsidR="00227516">
        <w:t>6</w:t>
      </w:r>
      <w:r w:rsidR="0028595B">
        <w:t xml:space="preserve"> institutions</w:t>
      </w:r>
      <w:r w:rsidR="00B44239">
        <w:t xml:space="preserve"> </w:t>
      </w:r>
      <w:r w:rsidR="0028595B">
        <w:t>are over 50 years old, and most have not undergone major renovations from the time they were constructed or acquired and converted to prison use by the BOP.  Each facility has numerous buildings</w:t>
      </w:r>
      <w:r w:rsidR="00767B6A">
        <w:t xml:space="preserve"> on the compound</w:t>
      </w:r>
      <w:r w:rsidR="0028595B">
        <w:t xml:space="preserve">, </w:t>
      </w:r>
      <w:r w:rsidR="00767B6A">
        <w:t>including</w:t>
      </w:r>
      <w:r w:rsidR="0028595B">
        <w:t xml:space="preserve"> inmate living quarters</w:t>
      </w:r>
      <w:r w:rsidR="00767B6A">
        <w:t>,</w:t>
      </w:r>
      <w:r w:rsidR="0028595B">
        <w:t xml:space="preserve"> many of which require extensive work to maintain an adequate state of repair to assure that they meet established standards.  Prison facilities are subjected to much heavier than normal use, since they are continuously used 24</w:t>
      </w:r>
      <w:r w:rsidR="004D2083">
        <w:t xml:space="preserve"> </w:t>
      </w:r>
      <w:r w:rsidR="0028595B">
        <w:t>hours a day, 365 days a year</w:t>
      </w:r>
      <w:r w:rsidR="00767B6A">
        <w:t>, in overcrowded conditions</w:t>
      </w:r>
      <w:r w:rsidR="0028595B">
        <w:t>.  Because o</w:t>
      </w:r>
      <w:r w:rsidR="00931A64">
        <w:t xml:space="preserve">f the size of the population, </w:t>
      </w:r>
      <w:r w:rsidR="0028595B">
        <w:t xml:space="preserve">at medium and high security </w:t>
      </w:r>
      <w:r w:rsidR="00931A64">
        <w:t>prisons</w:t>
      </w:r>
      <w:r w:rsidR="00767B6A">
        <w:t xml:space="preserve"> (</w:t>
      </w:r>
      <w:r w:rsidR="0008503A">
        <w:t xml:space="preserve">which are </w:t>
      </w:r>
      <w:r w:rsidR="00767B6A">
        <w:t>4</w:t>
      </w:r>
      <w:r w:rsidR="00F71E82">
        <w:t>1</w:t>
      </w:r>
      <w:r w:rsidR="00767B6A">
        <w:t xml:space="preserve"> percent and 5</w:t>
      </w:r>
      <w:r w:rsidR="00F71E82">
        <w:t>1</w:t>
      </w:r>
      <w:r w:rsidR="00767B6A">
        <w:t xml:space="preserve"> percent over rated capacity respectively</w:t>
      </w:r>
      <w:r w:rsidR="0008503A">
        <w:t xml:space="preserve"> as of </w:t>
      </w:r>
      <w:r w:rsidR="00F71E82">
        <w:t>January</w:t>
      </w:r>
      <w:r w:rsidR="0008503A">
        <w:t xml:space="preserve"> </w:t>
      </w:r>
      <w:r w:rsidR="00F71E82">
        <w:t>20</w:t>
      </w:r>
      <w:r w:rsidR="0008503A">
        <w:t>, 201</w:t>
      </w:r>
      <w:r w:rsidR="00F71E82">
        <w:t>1</w:t>
      </w:r>
      <w:r w:rsidR="00767B6A">
        <w:t>)</w:t>
      </w:r>
      <w:r w:rsidR="00931A64">
        <w:t xml:space="preserve">, </w:t>
      </w:r>
      <w:r w:rsidR="0028595B">
        <w:t>the facilities are over utilized</w:t>
      </w:r>
      <w:r w:rsidR="004D2083">
        <w:t>,</w:t>
      </w:r>
      <w:r w:rsidR="0028595B">
        <w:t xml:space="preserve"> </w:t>
      </w:r>
      <w:r w:rsidR="0028595B">
        <w:lastRenderedPageBreak/>
        <w:t>causing extensive wear and tear, as well as premature deterioration.  This is especially true in many of the older facilities where the utility system infrastructures (water, sewer, electrical, and heating/air conditioning) were originally designed for a smaller inmate population.</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Institutions perform detailed annual inspections of all areas of their physical plants and provide a list of projects to their regional office for all items which are in need of remedial action.  The six regional offices consolidate </w:t>
      </w:r>
      <w:r w:rsidR="00F701A1">
        <w:t xml:space="preserve">major </w:t>
      </w:r>
      <w:r>
        <w:t xml:space="preserve">project request lists from their facilities and forward the priority lists to the central office. The central office prioritizes all the </w:t>
      </w:r>
      <w:r w:rsidR="00F701A1">
        <w:t xml:space="preserve">major </w:t>
      </w:r>
      <w:r>
        <w:t xml:space="preserve">M&amp;R project requests </w:t>
      </w:r>
      <w:r w:rsidR="0008503A">
        <w:t xml:space="preserve">(typically those over $300,000) </w:t>
      </w:r>
      <w:r>
        <w:t>submitted by the</w:t>
      </w:r>
      <w:r w:rsidR="00BF5E13">
        <w:t xml:space="preserve"> </w:t>
      </w:r>
      <w:r>
        <w:t xml:space="preserve">regions and allocates funds for as many projects as practical.    </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4236BC"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1244C">
        <w:t xml:space="preserve">As of </w:t>
      </w:r>
      <w:r w:rsidR="00F71E82">
        <w:t xml:space="preserve">December </w:t>
      </w:r>
      <w:r w:rsidR="00951766">
        <w:t>3</w:t>
      </w:r>
      <w:r w:rsidR="00347AE6">
        <w:t>1</w:t>
      </w:r>
      <w:r w:rsidR="00951766">
        <w:t>, 2010,</w:t>
      </w:r>
      <w:r w:rsidR="0028595B" w:rsidRPr="0061244C">
        <w:t xml:space="preserve"> the BOP ha</w:t>
      </w:r>
      <w:r w:rsidRPr="0061244C">
        <w:t>d</w:t>
      </w:r>
      <w:r w:rsidR="0028595B" w:rsidRPr="0061244C">
        <w:t xml:space="preserve"> </w:t>
      </w:r>
      <w:r w:rsidR="0008503A">
        <w:t>6</w:t>
      </w:r>
      <w:r w:rsidR="00F71E82">
        <w:t>93</w:t>
      </w:r>
      <w:r w:rsidR="0008503A">
        <w:t xml:space="preserve"> </w:t>
      </w:r>
      <w:r w:rsidR="00B44239">
        <w:t xml:space="preserve">ongoing </w:t>
      </w:r>
      <w:r w:rsidR="0008503A">
        <w:t xml:space="preserve">major and minor </w:t>
      </w:r>
      <w:r w:rsidR="0028595B">
        <w:t xml:space="preserve">M&amp;R projects at various stages of completion.  </w:t>
      </w:r>
      <w:r w:rsidR="00B44239">
        <w:t>I</w:t>
      </w:r>
      <w:r w:rsidR="0028595B">
        <w:t xml:space="preserve">ndividual project costs range from a low of $10,000 to </w:t>
      </w:r>
      <w:r w:rsidR="00EA2898">
        <w:t xml:space="preserve">many </w:t>
      </w:r>
      <w:r w:rsidR="0028595B">
        <w:t>millions of dollars.  To manage this volume of projects and resources most efficiently, the BOP has significantly improved the M&amp;R program by using long range master planning with detailed surveys of older facilities; establishing a project time limit policy (</w:t>
      </w:r>
      <w:r w:rsidR="00361D2B">
        <w:t>three</w:t>
      </w:r>
      <w:r w:rsidR="0028595B">
        <w:t xml:space="preserve"> years); and </w:t>
      </w:r>
      <w:r w:rsidR="00F701A1">
        <w:t xml:space="preserve">striving to attain the Federal Facilities Council </w:t>
      </w:r>
      <w:r w:rsidR="00A75FBE">
        <w:t xml:space="preserve">minimum </w:t>
      </w:r>
      <w:r w:rsidR="00F701A1">
        <w:t xml:space="preserve">recommended </w:t>
      </w:r>
      <w:r w:rsidR="0028595B">
        <w:t xml:space="preserve">2 percent replacement value </w:t>
      </w:r>
      <w:r w:rsidR="0012593B">
        <w:t xml:space="preserve">level of </w:t>
      </w:r>
      <w:r w:rsidR="0028595B">
        <w:t xml:space="preserve">annual funding. </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To address the large inventory of older facilities, the BOP established a Long Range Master Plan that includes surveys of pertinent facilities.  The first facilities to be surveyed were those which are over 50 years old and have not had any major renovations.  Surveys </w:t>
      </w:r>
      <w:r w:rsidR="00951766">
        <w:t>were</w:t>
      </w:r>
      <w:r>
        <w:t xml:space="preserve"> conducted by contractors to determine the extent of renovations required to bring the older facilities to an adequate state of repair, and whether the costs of repair would equal or exceed the cost of replacing the facility.  Survey results, along with other known renovation needs, are then used by management in a long range plan, so M&amp;R projects can be prioritized and planned well in advance.</w:t>
      </w:r>
      <w:r w:rsidR="00AE3515">
        <w:t xml:space="preserve">  </w:t>
      </w:r>
    </w:p>
    <w:p w:rsidR="00931A64" w:rsidRDefault="00931A64"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three year time limit policy for M&amp;R projects was implemented in 1998 to ensure that institutions either complete scheduled projects in a timely manner, or the project</w:t>
      </w:r>
      <w:r w:rsidR="00F701A1">
        <w:t xml:space="preserve">s will be </w:t>
      </w:r>
      <w:r>
        <w:t>cancelled</w:t>
      </w:r>
      <w:r w:rsidR="00B44239">
        <w:t>.  When a project is cancelled, the funding is applied to the next highest priority project.</w:t>
      </w:r>
      <w:r>
        <w:t xml:space="preserve">  </w:t>
      </w:r>
      <w:r w:rsidR="00B44239">
        <w:t>A</w:t>
      </w:r>
      <w:r>
        <w:t>ll projects are monitored so local, regional, and central office management are informed of projects which may not meet the time limit.  The number of M&amp;R projects being cancelled per fiscal year decreased from 65 in FY 2002 down to</w:t>
      </w:r>
      <w:r w:rsidR="00347AE6">
        <w:t xml:space="preserve"> </w:t>
      </w:r>
      <w:r w:rsidR="00F71E82">
        <w:t>six</w:t>
      </w:r>
      <w:r>
        <w:t xml:space="preserve"> in FY 20</w:t>
      </w:r>
      <w:r w:rsidR="00F71E82">
        <w:t>1</w:t>
      </w:r>
      <w:r w:rsidR="00347AE6">
        <w:t>0</w:t>
      </w:r>
      <w:r>
        <w:t xml:space="preserve">.       </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44239"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replacement value method of </w:t>
      </w:r>
      <w:r w:rsidR="00F701A1">
        <w:t xml:space="preserve">requesting </w:t>
      </w:r>
      <w:r>
        <w:t xml:space="preserve">funding was first implemented in FY 2000 which allowed the BOP to adopt a project management approach to the M&amp;R program, since it should ensure a reliable funding stream and stable work force.  This method is based on recommendations of the Federal Facilities Council (FFC) which recommends that facilities maintenance programs should be funded at a minimum of 2 to 4 percent of their replacement value.  It is important that </w:t>
      </w:r>
      <w:r w:rsidR="00767E18">
        <w:t>sufficient funding for the</w:t>
      </w:r>
      <w:r>
        <w:t xml:space="preserve"> M&amp;R program be </w:t>
      </w:r>
      <w:r w:rsidR="00767E18">
        <w:t xml:space="preserve">provided to address the most critical repair and safety projects in order to safely </w:t>
      </w:r>
      <w:r w:rsidR="00B44239">
        <w:t xml:space="preserve">operate and maintain </w:t>
      </w:r>
      <w:r>
        <w:t xml:space="preserve">Federal prison </w:t>
      </w:r>
      <w:r w:rsidR="00B44239">
        <w:t>facilities</w:t>
      </w:r>
      <w:r>
        <w:t>.</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B44239"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Using this method of funding rather than the previous line item method, </w:t>
      </w:r>
      <w:r w:rsidR="006148B9">
        <w:t xml:space="preserve">allows </w:t>
      </w:r>
      <w:r>
        <w:t xml:space="preserve">projects </w:t>
      </w:r>
      <w:r w:rsidR="006148B9">
        <w:t>to be</w:t>
      </w:r>
      <w:r>
        <w:t xml:space="preserve"> planned well in advance, and preliminary/preparation work </w:t>
      </w:r>
      <w:r w:rsidR="006148B9">
        <w:t>can be</w:t>
      </w:r>
      <w:r>
        <w:t xml:space="preserve"> performed prior to the scheduled start of the projects.  Previously, preliminary work could not always be performed since this required considerable expense, and there was no assurance projects would be funded.  In addition, staff and jobs can now be scheduled to meet the unique requirements of each institution and project; i.e. shifting inmates between housing units at a given institution.  The level of planning provided by this funding method enables management to obligate funds and start projects on schedule, which was not previously the case.  Under the prior method, projects were funded up-front as line items, so staff and funding were dedicated to specific projects which could not be started until preliminary/preparation work was completed.</w:t>
      </w:r>
    </w:p>
    <w:p w:rsidR="00B44239" w:rsidRDefault="00B44239"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replacement value method of funding has shortened the time required to complete large M&amp;R projects, through concurrent management of projects in phases, based on projected availability of funds.  U</w:t>
      </w:r>
      <w:r w:rsidR="00B44239">
        <w:t xml:space="preserve">nder this method, managers can </w:t>
      </w:r>
      <w:r>
        <w:t xml:space="preserve">plan projects in smaller stages over a longer period of time and can schedule work to allow for regional and seasonal weather conditions, as well as the unique needs of the facilities and availability of local contractors.  Prior to this method, it could take BOP from </w:t>
      </w:r>
      <w:r w:rsidR="00361D2B">
        <w:t>four</w:t>
      </w:r>
      <w:r>
        <w:t xml:space="preserve"> to </w:t>
      </w:r>
      <w:r w:rsidR="00361D2B">
        <w:t>five</w:t>
      </w:r>
      <w:r>
        <w:t xml:space="preserve"> years to complete large M&amp;R projects. With the replacement value method, the time to complete th</w:t>
      </w:r>
      <w:r w:rsidR="00361D2B">
        <w:t>ese projects can be reduced by two</w:t>
      </w:r>
      <w:r>
        <w:t xml:space="preserve"> to </w:t>
      </w:r>
      <w:r w:rsidR="00361D2B">
        <w:t>three</w:t>
      </w:r>
      <w:r>
        <w:t xml:space="preserve"> years.  </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3D86"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BOP M&amp;R projects are classified under five general categories for internal management purposes, (Life Safety, General Improvements, Infrastructure Improvements, Hazardous Waste</w:t>
      </w:r>
      <w:r w:rsidR="0008503A">
        <w:t>,</w:t>
      </w:r>
      <w:r>
        <w:t xml:space="preserve"> and Energy Savings).  Within each of these categories are special projects to meet various regulations and codes requirements.  Life Safety projects are required to make corrective actions in order to comply with National Fire</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Code (NFPA 101) standards.  General Improvement projects are established to modernize and/or improve equipment, entire rooms, such as kitchens, or buildings that require total rehabilitation of structures, including walls, and utilities.  Infrastructure Improvement projects are established to modernize or replace utilities, such as water pipes and electrical systems. </w:t>
      </w:r>
      <w:r w:rsidR="00B44239">
        <w:t xml:space="preserve"> </w:t>
      </w:r>
      <w:r>
        <w:t xml:space="preserve">Hazardous Waste projects are established to abate hazardous waste, such as asbestos, through removal, encapsulation, and other methods as necessary.  Energy </w:t>
      </w:r>
      <w:r w:rsidR="00B44239">
        <w:t>S</w:t>
      </w:r>
      <w:r>
        <w:t>avings projects are established to conserve energy by using more energy efficient equipment and systems.  Energy projects are also required to meet pertinent energy conservation laws and regulations.</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five categories may also contain subcategories of projects (such as Accessibility, Environmental</w:t>
      </w:r>
      <w:r w:rsidR="00F701A1">
        <w:t>,</w:t>
      </w:r>
      <w:r>
        <w:t xml:space="preserve"> and others) to meet specific needs.  For example, General Improvement projects may each include smaller Accessibility projects to meet Architectural Barriers Act requirements.  Environmental projects are necessary for the BOP to be in compliance with environmental and safety regulations required by the Environmental Protection Agency (EPA) and the Office of Safety and Health Administration (OSHA).</w:t>
      </w:r>
    </w:p>
    <w:p w:rsidR="0028595B"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12E37" w:rsidRDefault="002B33EC" w:rsidP="00E12E37">
      <w:r>
        <w:t>T</w:t>
      </w:r>
      <w:r w:rsidR="00E12E37">
        <w:t xml:space="preserve">he BOP has made significant progress in environmental and energy performance and will continue to integrate and update prior practices and requirements.  </w:t>
      </w:r>
      <w:r w:rsidR="00167AAD">
        <w:t xml:space="preserve">Receipt of sufficient M&amp;R funding </w:t>
      </w:r>
      <w:r w:rsidR="00E12E37">
        <w:t xml:space="preserve">will further ensure enhanced performance and compliance with </w:t>
      </w:r>
      <w:r w:rsidR="00E12E37">
        <w:lastRenderedPageBreak/>
        <w:t xml:space="preserve">statutory and legal requirements.  The BOP is actively utilizing the Energy Saving Performance Contract (ESPC) finance mechanism permitted by Executive Order 13423 and Energy Policy Act.  </w:t>
      </w:r>
    </w:p>
    <w:p w:rsidR="00E12E37" w:rsidRDefault="00E12E37" w:rsidP="00E12E37">
      <w:r>
        <w:tab/>
      </w:r>
      <w:r>
        <w:tab/>
      </w:r>
      <w:r>
        <w:tab/>
      </w:r>
      <w:r>
        <w:tab/>
      </w:r>
    </w:p>
    <w:p w:rsidR="00E12E37" w:rsidRDefault="00E12E37" w:rsidP="00E12E37">
      <w:r>
        <w:t xml:space="preserve">An ESPC is a contract that provides for the performance of services for the design, acquisition, financing, installation, testing, operation, and where appropriate, maintenance and repair, of an identified energy or water conservation measure or series of measures at one or more locations.  The contractor must incur costs of implementing energy savings measures, including at least the cost (if any) incurred in making energy audits, acquiring and installing equipment, and training personnel in exchange for a predetermined share of the value of the energy savings directly resulting from implementation of such measures during the term of the contract.  Payment to the contractor is contingent upon realizing a guaranteed stream of future energy and cost savings, with any savings in excess of that guaranteed by the contractor accruing to the Federal Government.  The BOP has </w:t>
      </w:r>
      <w:r w:rsidR="00F20F4E">
        <w:t>twenty</w:t>
      </w:r>
      <w:r w:rsidR="00951766">
        <w:t xml:space="preserve"> </w:t>
      </w:r>
      <w:r>
        <w:t xml:space="preserve">ESPCs in different phases, and plans to look into the utilization of these contracts at every institution where it is practical.  </w:t>
      </w:r>
    </w:p>
    <w:p w:rsidR="00E12E37" w:rsidRDefault="00E12E37" w:rsidP="00E12E37"/>
    <w:p w:rsidR="00620BA7" w:rsidRPr="00620BA7" w:rsidRDefault="0008503A" w:rsidP="00620BA7">
      <w:r>
        <w:rPr>
          <w:lang w:val="en-CA"/>
        </w:rPr>
        <w:t>With 11</w:t>
      </w:r>
      <w:r w:rsidR="00227516">
        <w:rPr>
          <w:lang w:val="en-CA"/>
        </w:rPr>
        <w:t>6</w:t>
      </w:r>
      <w:r>
        <w:rPr>
          <w:lang w:val="en-CA"/>
        </w:rPr>
        <w:t xml:space="preserve"> federal prisons and a</w:t>
      </w:r>
      <w:r w:rsidR="00A75FBE">
        <w:rPr>
          <w:lang w:val="en-CA"/>
        </w:rPr>
        <w:t>pproximately</w:t>
      </w:r>
      <w:r>
        <w:rPr>
          <w:lang w:val="en-CA"/>
        </w:rPr>
        <w:t xml:space="preserve"> 21</w:t>
      </w:r>
      <w:r w:rsidR="008C05EA">
        <w:rPr>
          <w:lang w:val="en-CA"/>
        </w:rPr>
        <w:t>0</w:t>
      </w:r>
      <w:r>
        <w:rPr>
          <w:lang w:val="en-CA"/>
        </w:rPr>
        <w:t>,000 inmates, t</w:t>
      </w:r>
      <w:r w:rsidR="00620BA7" w:rsidRPr="00620BA7">
        <w:t xml:space="preserve">he BOP is the largest energy and water consumer in the Department of Justice.  Like all other government entities, the BOP is required to meet the goals established in the Energy Policy Act of 2005, the Energy Independence and Security Act of 2007 and Executive Order (EO) 13423.  </w:t>
      </w:r>
      <w:r w:rsidR="00167AAD">
        <w:t>As stated, the BOP</w:t>
      </w:r>
      <w:r w:rsidR="00620BA7" w:rsidRPr="00620BA7">
        <w:t xml:space="preserve"> </w:t>
      </w:r>
      <w:r w:rsidR="00167AAD">
        <w:t>is</w:t>
      </w:r>
      <w:r w:rsidR="00620BA7" w:rsidRPr="00620BA7">
        <w:t xml:space="preserve"> aggressively pursuing ESPC</w:t>
      </w:r>
      <w:r w:rsidR="00167AAD">
        <w:t>s</w:t>
      </w:r>
      <w:r w:rsidR="00620BA7" w:rsidRPr="00620BA7">
        <w:t xml:space="preserve"> to help meet these goals, but with our increasing inmate population and degrading infrastructure, ESPCs alone will not be enough.  Currently, on </w:t>
      </w:r>
      <w:r w:rsidR="00167AAD">
        <w:t>the</w:t>
      </w:r>
      <w:r w:rsidR="00620BA7" w:rsidRPr="00620BA7">
        <w:t xml:space="preserve"> M&amp;R back log list, </w:t>
      </w:r>
      <w:r w:rsidR="00167AAD">
        <w:t>there are approximately $30 million in</w:t>
      </w:r>
      <w:r w:rsidR="00620BA7" w:rsidRPr="00620BA7">
        <w:t xml:space="preserve"> energy related projects.  </w:t>
      </w:r>
      <w:r w:rsidR="00167AAD">
        <w:t>It is e</w:t>
      </w:r>
      <w:r w:rsidR="00620BA7" w:rsidRPr="00620BA7">
        <w:t>stimated that during the next five years, the BOP w</w:t>
      </w:r>
      <w:r w:rsidR="000820EE">
        <w:t>ould</w:t>
      </w:r>
      <w:r w:rsidR="00620BA7" w:rsidRPr="00620BA7">
        <w:t xml:space="preserve"> need over $250 million in energy related M&amp;R funds to meet these goals.  As an example, Executive Order 13423 requires that by 2015, 15</w:t>
      </w:r>
      <w:r w:rsidR="005D0E25">
        <w:t xml:space="preserve"> percent</w:t>
      </w:r>
      <w:r w:rsidR="00620BA7" w:rsidRPr="00620BA7">
        <w:t xml:space="preserve"> of </w:t>
      </w:r>
      <w:r w:rsidR="00167AAD">
        <w:t>BOP</w:t>
      </w:r>
      <w:r w:rsidR="00620BA7" w:rsidRPr="00620BA7">
        <w:t xml:space="preserve"> buildings</w:t>
      </w:r>
      <w:r w:rsidR="00167AAD">
        <w:t>/institutions</w:t>
      </w:r>
      <w:r w:rsidR="00620BA7" w:rsidRPr="00620BA7">
        <w:t xml:space="preserve"> are to be sustainable.  To be considered sustainable, these buildings have to meet the five guiding principles of sustainability.  </w:t>
      </w:r>
      <w:r w:rsidR="00167AAD">
        <w:t>An engineering firm has been cont</w:t>
      </w:r>
      <w:r w:rsidR="00620BA7" w:rsidRPr="00620BA7">
        <w:t>racted to perform a study on an existing institution to determine the estimate</w:t>
      </w:r>
      <w:r w:rsidR="000A51E3">
        <w:t>d</w:t>
      </w:r>
      <w:r w:rsidR="00620BA7" w:rsidRPr="00620BA7">
        <w:t xml:space="preserve"> cost to meet these guiding principles</w:t>
      </w:r>
      <w:r w:rsidR="00620BA7" w:rsidRPr="000820EE">
        <w:t>.  The estimate for this work is approximately $3 million.  To meet the 15</w:t>
      </w:r>
      <w:r w:rsidR="005D0E25">
        <w:t xml:space="preserve"> percent</w:t>
      </w:r>
      <w:r w:rsidR="00620BA7" w:rsidRPr="000820EE">
        <w:t xml:space="preserve"> requirement, the BOP would have to make 17 prisons sustainable.  This alone would require approximately $51 million in M&amp;R funds.</w:t>
      </w:r>
    </w:p>
    <w:p w:rsidR="00620BA7" w:rsidRPr="00620BA7" w:rsidRDefault="00620BA7" w:rsidP="00620BA7"/>
    <w:p w:rsidR="00620BA7" w:rsidRPr="00620BA7" w:rsidRDefault="00620BA7" w:rsidP="00620BA7">
      <w:r w:rsidRPr="00620BA7">
        <w:t xml:space="preserve">Most recently, Executive Order 13514 was issued.  The purpose of this EO is to reduce Green House Gases government-wide.  This will require the BOP to reduce energy consumption even further.  </w:t>
      </w:r>
      <w:r w:rsidR="000601E1">
        <w:t xml:space="preserve">It has not yet been </w:t>
      </w:r>
      <w:r w:rsidRPr="00620BA7">
        <w:t xml:space="preserve">determined how the BOP will meet the mandates of this EO, but </w:t>
      </w:r>
      <w:r w:rsidR="000601E1">
        <w:t xml:space="preserve">it is </w:t>
      </w:r>
      <w:r w:rsidRPr="00620BA7">
        <w:t>anticipate</w:t>
      </w:r>
      <w:r w:rsidR="000601E1">
        <w:t>d</w:t>
      </w:r>
      <w:r w:rsidRPr="00620BA7">
        <w:t xml:space="preserve"> that a significant amount of M&amp;R funds</w:t>
      </w:r>
      <w:r w:rsidR="00983683">
        <w:t xml:space="preserve"> will be needed</w:t>
      </w:r>
      <w:r w:rsidRPr="00620BA7">
        <w:t xml:space="preserve"> to get there.  </w:t>
      </w:r>
      <w:r w:rsidR="00983683">
        <w:t>Also, i</w:t>
      </w:r>
      <w:r w:rsidRPr="00620BA7">
        <w:t>n order to meet the requirements of this EO</w:t>
      </w:r>
      <w:r w:rsidR="00983683">
        <w:t xml:space="preserve">, old equipment will have to be replaced </w:t>
      </w:r>
      <w:r w:rsidR="002B33EC">
        <w:t>such as boilers.  The BOP has 33</w:t>
      </w:r>
      <w:r w:rsidRPr="00620BA7">
        <w:t xml:space="preserve"> institutions that are over 50 years old and a large amount of equipment at these institutions are inefficient and emit large quantities of green house gases.  </w:t>
      </w:r>
      <w:r w:rsidR="000820EE">
        <w:t>A</w:t>
      </w:r>
      <w:r w:rsidR="001D2B35">
        <w:t xml:space="preserve"> viable</w:t>
      </w:r>
      <w:r w:rsidR="000820EE">
        <w:t xml:space="preserve"> </w:t>
      </w:r>
      <w:r w:rsidRPr="000820EE">
        <w:t xml:space="preserve">solution </w:t>
      </w:r>
      <w:r w:rsidR="000820EE">
        <w:t>would be</w:t>
      </w:r>
      <w:r w:rsidRPr="000820EE">
        <w:t xml:space="preserve"> to replace th</w:t>
      </w:r>
      <w:r w:rsidR="00983683" w:rsidRPr="000820EE">
        <w:t>e</w:t>
      </w:r>
      <w:r w:rsidRPr="000820EE">
        <w:t xml:space="preserve"> equipment</w:t>
      </w:r>
      <w:r w:rsidR="00983683" w:rsidRPr="000820EE">
        <w:t xml:space="preserve">, and </w:t>
      </w:r>
      <w:r w:rsidR="0008503A" w:rsidRPr="000820EE">
        <w:t xml:space="preserve">these </w:t>
      </w:r>
      <w:r w:rsidR="00983683" w:rsidRPr="000820EE">
        <w:t xml:space="preserve">costs </w:t>
      </w:r>
      <w:r w:rsidRPr="000820EE">
        <w:t>could exceed $50 million.</w:t>
      </w:r>
      <w:r w:rsidRPr="00620BA7">
        <w:t xml:space="preserve"> </w:t>
      </w:r>
    </w:p>
    <w:p w:rsidR="00620BA7" w:rsidRPr="00620BA7" w:rsidRDefault="00620BA7" w:rsidP="00620BA7"/>
    <w:p w:rsidR="00620BA7" w:rsidRDefault="00620BA7" w:rsidP="00620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BA7">
        <w:t xml:space="preserve">The BOP is also in the process of self certifying </w:t>
      </w:r>
      <w:r w:rsidR="00983683">
        <w:t xml:space="preserve">the </w:t>
      </w:r>
      <w:r w:rsidRPr="00620BA7">
        <w:t xml:space="preserve">Environmental Management Systems (EMS).  The main purpose of EMS is to identify operations which effect the </w:t>
      </w:r>
      <w:r w:rsidRPr="00620BA7">
        <w:lastRenderedPageBreak/>
        <w:t>environment.  During the self certification process, a survey team performs an inspection to de</w:t>
      </w:r>
      <w:r>
        <w:t>termine if the institution comp</w:t>
      </w:r>
      <w:r w:rsidRPr="00620BA7">
        <w:t>l</w:t>
      </w:r>
      <w:r>
        <w:t>i</w:t>
      </w:r>
      <w:r w:rsidRPr="00620BA7">
        <w:t xml:space="preserve">es with all environmental regulations.  </w:t>
      </w:r>
      <w:r w:rsidR="002B33EC">
        <w:t xml:space="preserve">As a result of  </w:t>
      </w:r>
      <w:r w:rsidR="003661D9">
        <w:t xml:space="preserve"> inspections</w:t>
      </w:r>
      <w:r w:rsidR="002B33EC">
        <w:t xml:space="preserve">, the BOP </w:t>
      </w:r>
      <w:r w:rsidRPr="00620BA7">
        <w:t>ha</w:t>
      </w:r>
      <w:r w:rsidR="002B33EC">
        <w:t>s</w:t>
      </w:r>
      <w:r w:rsidRPr="00620BA7">
        <w:t xml:space="preserve"> found that many institutions require infrastructure improvements to meet regulations.  </w:t>
      </w:r>
      <w:r w:rsidR="003661D9">
        <w:t>For</w:t>
      </w:r>
      <w:r w:rsidRPr="00620BA7">
        <w:t xml:space="preserve"> example, after an inspection that took place at USP Atlanta, i</w:t>
      </w:r>
      <w:r>
        <w:t>t</w:t>
      </w:r>
      <w:r w:rsidRPr="00620BA7">
        <w:t xml:space="preserve"> was determined that the underground fuel tanks would have to be replaced to meet the current standards</w:t>
      </w:r>
      <w:r w:rsidRPr="000820EE">
        <w:t>.  The cost of this work was approximately $350,000.</w:t>
      </w:r>
      <w:r w:rsidRPr="00620BA7">
        <w:t xml:space="preserve">  </w:t>
      </w:r>
      <w:r w:rsidR="00E50F05">
        <w:t>The total</w:t>
      </w:r>
      <w:r w:rsidRPr="00620BA7">
        <w:t xml:space="preserve"> </w:t>
      </w:r>
      <w:r w:rsidR="00E50F05">
        <w:t xml:space="preserve">cost </w:t>
      </w:r>
      <w:r w:rsidRPr="00620BA7">
        <w:t>estimate t</w:t>
      </w:r>
      <w:r w:rsidR="00E50F05">
        <w:t>o provide the</w:t>
      </w:r>
      <w:r w:rsidRPr="00620BA7">
        <w:t xml:space="preserve"> necessary repairs</w:t>
      </w:r>
      <w:r w:rsidR="00E50F05">
        <w:t>,</w:t>
      </w:r>
      <w:r w:rsidRPr="00620BA7">
        <w:t xml:space="preserve"> bureau-wide</w:t>
      </w:r>
      <w:r w:rsidR="00E50F05">
        <w:t>,</w:t>
      </w:r>
      <w:r w:rsidRPr="00620BA7">
        <w:t xml:space="preserve"> could </w:t>
      </w:r>
      <w:r w:rsidR="00E50F05">
        <w:t xml:space="preserve">amount to </w:t>
      </w:r>
      <w:r w:rsidRPr="00620BA7">
        <w:t xml:space="preserve">as much as $10 million.  If these repairs are not made, BOP will be subjected to probable fines by the EPA, and even </w:t>
      </w:r>
      <w:r w:rsidR="002B33EC">
        <w:t>worse</w:t>
      </w:r>
      <w:r w:rsidR="000A51E3">
        <w:t>,</w:t>
      </w:r>
      <w:r w:rsidRPr="00620BA7">
        <w:t xml:space="preserve"> could have an incident that damages the environment.</w:t>
      </w:r>
    </w:p>
    <w:p w:rsidR="00620BA7" w:rsidRPr="00620BA7" w:rsidRDefault="00620BA7" w:rsidP="00620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6909" w:rsidRDefault="0028595B"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M&amp;R program has demonstrated substantial improvements through the implementation of the Long Range Planning method with its associated facility surveys, the project time limit policy, and the </w:t>
      </w:r>
      <w:r w:rsidR="00D96F0C">
        <w:t>two</w:t>
      </w:r>
      <w:r>
        <w:t xml:space="preserve"> percent replacement value method of requesting funding.  </w:t>
      </w:r>
      <w:r w:rsidR="009F478E">
        <w:t>These changes have helped the BOP complete more projects in a shorter period of time and stretch its repair dollars.  With the time limit policy, t</w:t>
      </w:r>
      <w:r w:rsidR="004E190C">
        <w:t>he BOP has been able to substantially reduce the M&amp;R unobligated balance from over $118 million in FY 1999 down to $2</w:t>
      </w:r>
      <w:r w:rsidR="00F71E82">
        <w:t>6</w:t>
      </w:r>
      <w:r w:rsidR="00297522">
        <w:t>.</w:t>
      </w:r>
      <w:r w:rsidR="00F71E82">
        <w:t>9</w:t>
      </w:r>
      <w:r w:rsidR="004E190C">
        <w:t> million at the end of FY 20</w:t>
      </w:r>
      <w:r w:rsidR="00F71E82">
        <w:t>1</w:t>
      </w:r>
      <w:r w:rsidR="004E190C">
        <w:t xml:space="preserve">0.  </w:t>
      </w:r>
    </w:p>
    <w:p w:rsidR="001D6909" w:rsidRDefault="001D6909"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A0269" w:rsidRDefault="009F478E" w:rsidP="00EA5308">
      <w:pPr>
        <w:rPr>
          <w:lang w:val="en-CA"/>
        </w:rPr>
      </w:pPr>
      <w:r w:rsidRPr="006261E4">
        <w:t xml:space="preserve">The BOP has a current backlog of M&amp;R </w:t>
      </w:r>
      <w:r w:rsidR="002D7B09" w:rsidRPr="006261E4">
        <w:t xml:space="preserve">major project </w:t>
      </w:r>
      <w:r w:rsidRPr="006261E4">
        <w:t xml:space="preserve">priorities totaling </w:t>
      </w:r>
      <w:r w:rsidR="00951766" w:rsidRPr="006261E4">
        <w:t>1</w:t>
      </w:r>
      <w:r w:rsidR="006936E3">
        <w:t>34</w:t>
      </w:r>
      <w:r w:rsidRPr="006261E4">
        <w:t xml:space="preserve"> projects at an approximate cost of $</w:t>
      </w:r>
      <w:r w:rsidR="00951766" w:rsidRPr="006261E4">
        <w:t>3</w:t>
      </w:r>
      <w:r w:rsidR="006936E3">
        <w:t>02</w:t>
      </w:r>
      <w:r w:rsidRPr="006261E4">
        <w:t xml:space="preserve"> million.</w:t>
      </w:r>
      <w:r>
        <w:t xml:space="preserve">  </w:t>
      </w:r>
      <w:r>
        <w:rPr>
          <w:lang w:val="en-CA"/>
        </w:rPr>
        <w:t xml:space="preserve">This list is not all encompassing of BOP’s M&amp;R needs.  The list reflects only those </w:t>
      </w:r>
      <w:r w:rsidR="0012593B">
        <w:rPr>
          <w:lang w:val="en-CA"/>
        </w:rPr>
        <w:t xml:space="preserve">major </w:t>
      </w:r>
      <w:r>
        <w:rPr>
          <w:lang w:val="en-CA"/>
        </w:rPr>
        <w:t xml:space="preserve">projects </w:t>
      </w:r>
      <w:r w:rsidR="0012593B">
        <w:rPr>
          <w:lang w:val="en-CA"/>
        </w:rPr>
        <w:t xml:space="preserve">(typically </w:t>
      </w:r>
      <w:r w:rsidR="00931A64">
        <w:rPr>
          <w:lang w:val="en-CA"/>
        </w:rPr>
        <w:t xml:space="preserve">costing </w:t>
      </w:r>
      <w:r>
        <w:rPr>
          <w:lang w:val="en-CA"/>
        </w:rPr>
        <w:t>over $300,000</w:t>
      </w:r>
      <w:r w:rsidR="0012593B">
        <w:rPr>
          <w:lang w:val="en-CA"/>
        </w:rPr>
        <w:t>)</w:t>
      </w:r>
      <w:r>
        <w:rPr>
          <w:lang w:val="en-CA"/>
        </w:rPr>
        <w:t xml:space="preserve"> that have been approved to receive funding as resources become available.  Also, the list does not reflect the universe of unfunded repair and improvement </w:t>
      </w:r>
      <w:r w:rsidR="0008503A">
        <w:rPr>
          <w:lang w:val="en-CA"/>
        </w:rPr>
        <w:t xml:space="preserve">minor </w:t>
      </w:r>
      <w:r>
        <w:rPr>
          <w:lang w:val="en-CA"/>
        </w:rPr>
        <w:t xml:space="preserve">projects </w:t>
      </w:r>
      <w:r w:rsidR="0012593B">
        <w:rPr>
          <w:lang w:val="en-CA"/>
        </w:rPr>
        <w:t>(</w:t>
      </w:r>
      <w:r>
        <w:rPr>
          <w:lang w:val="en-CA"/>
        </w:rPr>
        <w:t>less than $300,000</w:t>
      </w:r>
      <w:r w:rsidR="0012593B">
        <w:rPr>
          <w:lang w:val="en-CA"/>
        </w:rPr>
        <w:t>)</w:t>
      </w:r>
      <w:r>
        <w:rPr>
          <w:lang w:val="en-CA"/>
        </w:rPr>
        <w:t xml:space="preserve"> which are managed and prioritized at the regional level.  There are also many more M&amp;R projects greater than $300,000 that are needed, but have not been approved and added to the unfunded list due to the </w:t>
      </w:r>
      <w:r w:rsidR="0012593B">
        <w:rPr>
          <w:lang w:val="en-CA"/>
        </w:rPr>
        <w:t>very constrained</w:t>
      </w:r>
      <w:r>
        <w:rPr>
          <w:lang w:val="en-CA"/>
        </w:rPr>
        <w:t xml:space="preserve"> funding levels received for the M&amp;R pro</w:t>
      </w:r>
      <w:r w:rsidR="002D7B09">
        <w:rPr>
          <w:lang w:val="en-CA"/>
        </w:rPr>
        <w:t>gram</w:t>
      </w:r>
      <w:r>
        <w:rPr>
          <w:lang w:val="en-CA"/>
        </w:rPr>
        <w:t xml:space="preserve">.  </w:t>
      </w:r>
    </w:p>
    <w:p w:rsidR="008A0269" w:rsidRDefault="008A0269" w:rsidP="00EA5308">
      <w:pPr>
        <w:rPr>
          <w:lang w:val="en-CA"/>
        </w:rPr>
      </w:pPr>
    </w:p>
    <w:p w:rsidR="00EA5308" w:rsidRDefault="009F478E" w:rsidP="00EA5308">
      <w:pPr>
        <w:rPr>
          <w:lang w:val="en-CA"/>
        </w:rPr>
      </w:pPr>
      <w:r>
        <w:rPr>
          <w:lang w:val="en-CA"/>
        </w:rPr>
        <w:t xml:space="preserve">Up to this point, BOP’s priority has been </w:t>
      </w:r>
      <w:r w:rsidR="00D0317B">
        <w:rPr>
          <w:lang w:val="en-CA"/>
        </w:rPr>
        <w:t xml:space="preserve">the </w:t>
      </w:r>
      <w:r>
        <w:rPr>
          <w:lang w:val="en-CA"/>
        </w:rPr>
        <w:t xml:space="preserve">funding </w:t>
      </w:r>
      <w:r w:rsidR="00D0317B">
        <w:rPr>
          <w:lang w:val="en-CA"/>
        </w:rPr>
        <w:t xml:space="preserve">of </w:t>
      </w:r>
      <w:r>
        <w:rPr>
          <w:lang w:val="en-CA"/>
        </w:rPr>
        <w:t>emergency</w:t>
      </w:r>
      <w:r w:rsidR="00D0317B">
        <w:rPr>
          <w:lang w:val="en-CA"/>
        </w:rPr>
        <w:t>, security,</w:t>
      </w:r>
      <w:r>
        <w:rPr>
          <w:lang w:val="en-CA"/>
        </w:rPr>
        <w:t xml:space="preserve"> and life safety type projects.  For FY 201</w:t>
      </w:r>
      <w:r w:rsidR="00A06539">
        <w:rPr>
          <w:lang w:val="en-CA"/>
        </w:rPr>
        <w:t>2</w:t>
      </w:r>
      <w:r>
        <w:rPr>
          <w:lang w:val="en-CA"/>
        </w:rPr>
        <w:t xml:space="preserve">, an </w:t>
      </w:r>
      <w:r w:rsidR="0013200A">
        <w:rPr>
          <w:lang w:val="en-CA"/>
        </w:rPr>
        <w:t>M&amp;R base amount of $</w:t>
      </w:r>
      <w:r w:rsidR="0072168B">
        <w:rPr>
          <w:lang w:val="en-CA"/>
        </w:rPr>
        <w:t>7</w:t>
      </w:r>
      <w:r w:rsidR="00F71E82">
        <w:rPr>
          <w:lang w:val="en-CA"/>
        </w:rPr>
        <w:t>3</w:t>
      </w:r>
      <w:r w:rsidR="00A06539">
        <w:rPr>
          <w:lang w:val="en-CA"/>
        </w:rPr>
        <w:t>,</w:t>
      </w:r>
      <w:r w:rsidR="00F71E82">
        <w:rPr>
          <w:lang w:val="en-CA"/>
        </w:rPr>
        <w:t>95</w:t>
      </w:r>
      <w:r w:rsidR="0072168B">
        <w:rPr>
          <w:lang w:val="en-CA"/>
        </w:rPr>
        <w:t>5</w:t>
      </w:r>
      <w:r w:rsidR="0013200A">
        <w:rPr>
          <w:lang w:val="en-CA"/>
        </w:rPr>
        <w:t>,</w:t>
      </w:r>
      <w:r>
        <w:rPr>
          <w:lang w:val="en-CA"/>
        </w:rPr>
        <w:t xml:space="preserve">000 </w:t>
      </w:r>
      <w:r w:rsidR="001F45DC">
        <w:rPr>
          <w:lang w:val="en-CA"/>
        </w:rPr>
        <w:t>is requested</w:t>
      </w:r>
      <w:r w:rsidR="001635F7">
        <w:rPr>
          <w:lang w:val="en-CA"/>
        </w:rPr>
        <w:t xml:space="preserve"> to maintain current services, or </w:t>
      </w:r>
      <w:r w:rsidR="0072168B">
        <w:rPr>
          <w:lang w:val="en-CA"/>
        </w:rPr>
        <w:t>0</w:t>
      </w:r>
      <w:r w:rsidR="001F45DC">
        <w:rPr>
          <w:lang w:val="en-CA"/>
        </w:rPr>
        <w:t>.</w:t>
      </w:r>
      <w:r w:rsidR="0072168B">
        <w:rPr>
          <w:lang w:val="en-CA"/>
        </w:rPr>
        <w:t>3</w:t>
      </w:r>
      <w:r w:rsidR="002D7B09">
        <w:rPr>
          <w:lang w:val="en-CA"/>
        </w:rPr>
        <w:t xml:space="preserve"> percent of the </w:t>
      </w:r>
      <w:r>
        <w:rPr>
          <w:lang w:val="en-CA"/>
        </w:rPr>
        <w:t xml:space="preserve">replacement value.  </w:t>
      </w:r>
      <w:r w:rsidR="00EA5308">
        <w:rPr>
          <w:lang w:val="en-CA"/>
        </w:rPr>
        <w:t xml:space="preserve">This </w:t>
      </w:r>
      <w:r w:rsidR="0013200A">
        <w:rPr>
          <w:lang w:val="en-CA"/>
        </w:rPr>
        <w:t>level for M&amp;R will</w:t>
      </w:r>
      <w:r w:rsidR="00E36F84">
        <w:rPr>
          <w:lang w:val="en-CA"/>
        </w:rPr>
        <w:t xml:space="preserve"> fund </w:t>
      </w:r>
      <w:r w:rsidR="003C05CE">
        <w:rPr>
          <w:lang w:val="en-CA"/>
        </w:rPr>
        <w:t xml:space="preserve">a limited number </w:t>
      </w:r>
      <w:r w:rsidR="00E36F84">
        <w:rPr>
          <w:lang w:val="en-CA"/>
        </w:rPr>
        <w:t>of the</w:t>
      </w:r>
      <w:r w:rsidR="00303656">
        <w:rPr>
          <w:lang w:val="en-CA"/>
        </w:rPr>
        <w:t xml:space="preserve"> most critical repairs of BOP’s aging facilities’ infrastructure. </w:t>
      </w:r>
    </w:p>
    <w:p w:rsidR="00E05894" w:rsidRDefault="00E05894" w:rsidP="00285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E05894" w:rsidSect="00223731">
          <w:pgSz w:w="12240" w:h="15840"/>
          <w:pgMar w:top="1440" w:right="1800" w:bottom="1440" w:left="1800" w:header="720" w:footer="720" w:gutter="0"/>
          <w:cols w:space="720"/>
          <w:docGrid w:linePitch="360"/>
        </w:sectPr>
      </w:pPr>
    </w:p>
    <w:tbl>
      <w:tblPr>
        <w:tblW w:w="1451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2229"/>
        <w:gridCol w:w="892"/>
        <w:gridCol w:w="946"/>
        <w:gridCol w:w="855"/>
        <w:gridCol w:w="1083"/>
        <w:gridCol w:w="1140"/>
        <w:gridCol w:w="1254"/>
        <w:gridCol w:w="1368"/>
        <w:gridCol w:w="1315"/>
        <w:gridCol w:w="1040"/>
        <w:gridCol w:w="1040"/>
      </w:tblGrid>
      <w:tr w:rsidR="00C7599F" w:rsidTr="00EA7749">
        <w:trPr>
          <w:trHeight w:val="294"/>
        </w:trPr>
        <w:tc>
          <w:tcPr>
            <w:tcW w:w="14510" w:type="dxa"/>
            <w:gridSpan w:val="12"/>
            <w:vAlign w:val="center"/>
          </w:tcPr>
          <w:p w:rsidR="00C7599F" w:rsidRPr="00EA7749" w:rsidRDefault="00C7599F" w:rsidP="00EA7749">
            <w:pPr>
              <w:ind w:left="-51"/>
              <w:jc w:val="center"/>
              <w:rPr>
                <w:rFonts w:ascii="Arial" w:hAnsi="Arial" w:cs="Arial"/>
                <w:b/>
                <w:sz w:val="16"/>
                <w:szCs w:val="16"/>
              </w:rPr>
            </w:pPr>
            <w:r w:rsidRPr="00EA7749">
              <w:rPr>
                <w:rFonts w:ascii="Arial" w:hAnsi="Arial" w:cs="Arial"/>
                <w:b/>
                <w:sz w:val="16"/>
                <w:szCs w:val="16"/>
              </w:rPr>
              <w:lastRenderedPageBreak/>
              <w:t>PERFORMANCE AND RESOURCES TABLE</w:t>
            </w:r>
          </w:p>
        </w:tc>
      </w:tr>
      <w:tr w:rsidR="00C7599F" w:rsidTr="00EA7749">
        <w:trPr>
          <w:trHeight w:val="294"/>
        </w:trPr>
        <w:tc>
          <w:tcPr>
            <w:tcW w:w="14510" w:type="dxa"/>
            <w:gridSpan w:val="12"/>
            <w:vAlign w:val="bottom"/>
          </w:tcPr>
          <w:p w:rsidR="00C7599F" w:rsidRPr="00EA7749" w:rsidRDefault="00C7599F" w:rsidP="00C7599F">
            <w:pPr>
              <w:rPr>
                <w:rFonts w:ascii="Arial" w:hAnsi="Arial" w:cs="Arial"/>
                <w:b/>
                <w:sz w:val="16"/>
                <w:szCs w:val="16"/>
              </w:rPr>
            </w:pPr>
            <w:r w:rsidRPr="00EA7749">
              <w:rPr>
                <w:rFonts w:ascii="Arial" w:hAnsi="Arial" w:cs="Arial"/>
                <w:b/>
                <w:sz w:val="16"/>
                <w:szCs w:val="16"/>
              </w:rPr>
              <w:t>Decision Unit: Modernization and Repair of Existing Facilities</w:t>
            </w:r>
          </w:p>
        </w:tc>
      </w:tr>
      <w:tr w:rsidR="00C7599F" w:rsidTr="00EA7749">
        <w:trPr>
          <w:trHeight w:val="294"/>
        </w:trPr>
        <w:tc>
          <w:tcPr>
            <w:tcW w:w="14510" w:type="dxa"/>
            <w:gridSpan w:val="12"/>
            <w:vAlign w:val="bottom"/>
          </w:tcPr>
          <w:p w:rsidR="00C7599F" w:rsidRPr="00EA7749" w:rsidRDefault="00C7599F" w:rsidP="00C7599F">
            <w:pPr>
              <w:rPr>
                <w:rFonts w:ascii="Arial" w:hAnsi="Arial" w:cs="Arial"/>
                <w:b/>
                <w:sz w:val="16"/>
                <w:szCs w:val="16"/>
              </w:rPr>
            </w:pPr>
            <w:r w:rsidRPr="00EA7749">
              <w:rPr>
                <w:rFonts w:ascii="Arial" w:hAnsi="Arial" w:cs="Arial"/>
                <w:b/>
                <w:sz w:val="16"/>
                <w:szCs w:val="16"/>
              </w:rPr>
              <w:t>DOJ Strategic Goal/Objective:  3.3</w:t>
            </w:r>
          </w:p>
        </w:tc>
      </w:tr>
      <w:tr w:rsidR="00C7599F" w:rsidTr="00EA7749">
        <w:trPr>
          <w:trHeight w:val="441"/>
        </w:trPr>
        <w:tc>
          <w:tcPr>
            <w:tcW w:w="3577" w:type="dxa"/>
            <w:gridSpan w:val="2"/>
          </w:tcPr>
          <w:p w:rsidR="00C7599F" w:rsidRPr="00EA7749" w:rsidRDefault="00C7599F" w:rsidP="00C7599F">
            <w:pPr>
              <w:rPr>
                <w:rFonts w:ascii="Arial" w:hAnsi="Arial" w:cs="Arial"/>
                <w:b/>
                <w:sz w:val="16"/>
                <w:szCs w:val="16"/>
              </w:rPr>
            </w:pPr>
            <w:r w:rsidRPr="00EA7749">
              <w:rPr>
                <w:rFonts w:ascii="Arial" w:hAnsi="Arial" w:cs="Arial"/>
                <w:b/>
                <w:sz w:val="16"/>
                <w:szCs w:val="16"/>
              </w:rPr>
              <w:t>Workload/Resources</w:t>
            </w:r>
          </w:p>
          <w:p w:rsidR="00C7599F" w:rsidRPr="00EA7749" w:rsidRDefault="00C7599F" w:rsidP="00C7599F">
            <w:pPr>
              <w:rPr>
                <w:rFonts w:ascii="Arial" w:hAnsi="Arial" w:cs="Arial"/>
                <w:b/>
                <w:sz w:val="16"/>
                <w:szCs w:val="16"/>
              </w:rPr>
            </w:pPr>
          </w:p>
        </w:tc>
        <w:tc>
          <w:tcPr>
            <w:tcW w:w="1838" w:type="dxa"/>
            <w:gridSpan w:val="2"/>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Final Target</w:t>
            </w:r>
          </w:p>
        </w:tc>
        <w:tc>
          <w:tcPr>
            <w:tcW w:w="1938" w:type="dxa"/>
            <w:gridSpan w:val="2"/>
            <w:shd w:val="clear" w:color="auto" w:fill="E0E0E0"/>
          </w:tcPr>
          <w:p w:rsidR="00BF0B15" w:rsidRPr="00EA7749" w:rsidRDefault="00BF0B15" w:rsidP="00EA7749">
            <w:pPr>
              <w:jc w:val="center"/>
              <w:rPr>
                <w:rFonts w:ascii="Arial" w:hAnsi="Arial" w:cs="Arial"/>
                <w:b/>
                <w:sz w:val="16"/>
                <w:szCs w:val="16"/>
              </w:rPr>
            </w:pPr>
            <w:r w:rsidRPr="00EA7749">
              <w:rPr>
                <w:rFonts w:ascii="Arial" w:hAnsi="Arial" w:cs="Arial"/>
                <w:b/>
                <w:sz w:val="16"/>
                <w:szCs w:val="16"/>
              </w:rPr>
              <w:t xml:space="preserve"> </w:t>
            </w:r>
          </w:p>
          <w:p w:rsidR="00C7599F" w:rsidRPr="00EA7749" w:rsidRDefault="00327623" w:rsidP="00EA7749">
            <w:pPr>
              <w:jc w:val="center"/>
              <w:rPr>
                <w:rFonts w:ascii="Arial" w:hAnsi="Arial" w:cs="Arial"/>
                <w:b/>
                <w:sz w:val="16"/>
                <w:szCs w:val="16"/>
              </w:rPr>
            </w:pPr>
            <w:r>
              <w:rPr>
                <w:rFonts w:ascii="Arial" w:hAnsi="Arial" w:cs="Arial"/>
                <w:b/>
                <w:sz w:val="16"/>
                <w:szCs w:val="16"/>
              </w:rPr>
              <w:t>Actual</w:t>
            </w:r>
          </w:p>
        </w:tc>
        <w:tc>
          <w:tcPr>
            <w:tcW w:w="2394" w:type="dxa"/>
            <w:gridSpan w:val="2"/>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Projected</w:t>
            </w:r>
          </w:p>
        </w:tc>
        <w:tc>
          <w:tcPr>
            <w:tcW w:w="2683" w:type="dxa"/>
            <w:gridSpan w:val="2"/>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Changes</w:t>
            </w:r>
          </w:p>
        </w:tc>
        <w:tc>
          <w:tcPr>
            <w:tcW w:w="2080" w:type="dxa"/>
            <w:gridSpan w:val="2"/>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Requested (Total)</w:t>
            </w:r>
          </w:p>
        </w:tc>
      </w:tr>
      <w:tr w:rsidR="00C7599F" w:rsidTr="00EA7749">
        <w:trPr>
          <w:trHeight w:val="441"/>
        </w:trPr>
        <w:tc>
          <w:tcPr>
            <w:tcW w:w="3577" w:type="dxa"/>
            <w:gridSpan w:val="2"/>
          </w:tcPr>
          <w:p w:rsidR="00C7599F" w:rsidRPr="00EA7749" w:rsidRDefault="00C7599F" w:rsidP="00C7599F">
            <w:pPr>
              <w:rPr>
                <w:rFonts w:ascii="Arial" w:hAnsi="Arial" w:cs="Arial"/>
                <w:b/>
                <w:sz w:val="16"/>
                <w:szCs w:val="16"/>
              </w:rPr>
            </w:pPr>
          </w:p>
        </w:tc>
        <w:tc>
          <w:tcPr>
            <w:tcW w:w="1838" w:type="dxa"/>
            <w:gridSpan w:val="2"/>
          </w:tcPr>
          <w:p w:rsidR="00C7599F" w:rsidRPr="00EA7749" w:rsidRDefault="00C7599F" w:rsidP="00EA7749">
            <w:pPr>
              <w:jc w:val="center"/>
              <w:rPr>
                <w:rFonts w:ascii="Arial" w:hAnsi="Arial" w:cs="Arial"/>
                <w:b/>
                <w:sz w:val="16"/>
                <w:szCs w:val="16"/>
              </w:rPr>
            </w:pPr>
          </w:p>
          <w:p w:rsidR="00C7599F" w:rsidRPr="00EA7749" w:rsidRDefault="00C7599F" w:rsidP="00EA7749">
            <w:pPr>
              <w:jc w:val="center"/>
              <w:rPr>
                <w:rFonts w:ascii="Arial" w:hAnsi="Arial" w:cs="Arial"/>
                <w:b/>
                <w:sz w:val="16"/>
                <w:szCs w:val="16"/>
              </w:rPr>
            </w:pPr>
            <w:r w:rsidRPr="00EA7749">
              <w:rPr>
                <w:rFonts w:ascii="Arial" w:hAnsi="Arial" w:cs="Arial"/>
                <w:b/>
                <w:sz w:val="16"/>
                <w:szCs w:val="16"/>
              </w:rPr>
              <w:t>FY 20</w:t>
            </w:r>
            <w:r w:rsidR="00691459">
              <w:rPr>
                <w:rFonts w:ascii="Arial" w:hAnsi="Arial" w:cs="Arial"/>
                <w:b/>
                <w:sz w:val="16"/>
                <w:szCs w:val="16"/>
              </w:rPr>
              <w:t>10</w:t>
            </w:r>
          </w:p>
        </w:tc>
        <w:tc>
          <w:tcPr>
            <w:tcW w:w="1938" w:type="dxa"/>
            <w:gridSpan w:val="2"/>
            <w:tcBorders>
              <w:bottom w:val="single" w:sz="4" w:space="0" w:color="auto"/>
            </w:tcBorders>
            <w:shd w:val="clear" w:color="auto" w:fill="E0E0E0"/>
          </w:tcPr>
          <w:p w:rsidR="00C7599F" w:rsidRPr="00EA7749" w:rsidRDefault="00C7599F" w:rsidP="00EA7749">
            <w:pPr>
              <w:jc w:val="center"/>
              <w:rPr>
                <w:rFonts w:ascii="Arial" w:hAnsi="Arial" w:cs="Arial"/>
                <w:b/>
                <w:sz w:val="16"/>
                <w:szCs w:val="16"/>
              </w:rPr>
            </w:pPr>
          </w:p>
          <w:p w:rsidR="00C7599F" w:rsidRPr="00EA7749" w:rsidRDefault="00C7599F" w:rsidP="00EA7749">
            <w:pPr>
              <w:jc w:val="center"/>
              <w:rPr>
                <w:rFonts w:ascii="Arial" w:hAnsi="Arial" w:cs="Arial"/>
                <w:b/>
                <w:sz w:val="16"/>
                <w:szCs w:val="16"/>
              </w:rPr>
            </w:pPr>
            <w:r w:rsidRPr="00EA7749">
              <w:rPr>
                <w:rFonts w:ascii="Arial" w:hAnsi="Arial" w:cs="Arial"/>
                <w:b/>
                <w:sz w:val="16"/>
                <w:szCs w:val="16"/>
              </w:rPr>
              <w:t>FY 20</w:t>
            </w:r>
            <w:r w:rsidR="00691459">
              <w:rPr>
                <w:rFonts w:ascii="Arial" w:hAnsi="Arial" w:cs="Arial"/>
                <w:b/>
                <w:sz w:val="16"/>
                <w:szCs w:val="16"/>
              </w:rPr>
              <w:t>10</w:t>
            </w:r>
          </w:p>
        </w:tc>
        <w:tc>
          <w:tcPr>
            <w:tcW w:w="2394" w:type="dxa"/>
            <w:gridSpan w:val="2"/>
          </w:tcPr>
          <w:p w:rsidR="00C7599F" w:rsidRPr="00EA7749" w:rsidRDefault="00C7599F" w:rsidP="00EA7749">
            <w:pPr>
              <w:jc w:val="center"/>
              <w:rPr>
                <w:rFonts w:ascii="Arial" w:hAnsi="Arial" w:cs="Arial"/>
                <w:b/>
                <w:sz w:val="16"/>
                <w:szCs w:val="16"/>
              </w:rPr>
            </w:pPr>
          </w:p>
          <w:p w:rsidR="00C7599F" w:rsidRPr="00EA7749" w:rsidRDefault="00C7599F" w:rsidP="00EA7749">
            <w:pPr>
              <w:jc w:val="center"/>
              <w:rPr>
                <w:rFonts w:ascii="Arial" w:hAnsi="Arial" w:cs="Arial"/>
                <w:b/>
                <w:sz w:val="16"/>
                <w:szCs w:val="16"/>
              </w:rPr>
            </w:pPr>
            <w:r w:rsidRPr="00EA7749">
              <w:rPr>
                <w:rFonts w:ascii="Arial" w:hAnsi="Arial" w:cs="Arial"/>
                <w:b/>
                <w:sz w:val="16"/>
                <w:szCs w:val="16"/>
              </w:rPr>
              <w:t>FY 20</w:t>
            </w:r>
            <w:r w:rsidR="00691459">
              <w:rPr>
                <w:rFonts w:ascii="Arial" w:hAnsi="Arial" w:cs="Arial"/>
                <w:b/>
                <w:sz w:val="16"/>
                <w:szCs w:val="16"/>
              </w:rPr>
              <w:t xml:space="preserve">11 </w:t>
            </w:r>
            <w:r w:rsidR="00327623">
              <w:rPr>
                <w:rFonts w:ascii="Arial" w:hAnsi="Arial" w:cs="Arial"/>
                <w:b/>
                <w:sz w:val="16"/>
                <w:szCs w:val="16"/>
              </w:rPr>
              <w:t>CR</w:t>
            </w:r>
          </w:p>
          <w:p w:rsidR="00C7599F" w:rsidRPr="00EA7749" w:rsidRDefault="00C7599F" w:rsidP="00EA7749">
            <w:pPr>
              <w:jc w:val="center"/>
              <w:rPr>
                <w:rFonts w:ascii="Arial" w:hAnsi="Arial" w:cs="Arial"/>
                <w:b/>
                <w:sz w:val="16"/>
                <w:szCs w:val="16"/>
              </w:rPr>
            </w:pPr>
          </w:p>
          <w:p w:rsidR="00C7599F" w:rsidRPr="00EA7749" w:rsidRDefault="00C7599F" w:rsidP="00EA7749">
            <w:pPr>
              <w:jc w:val="center"/>
              <w:rPr>
                <w:rFonts w:ascii="Arial" w:hAnsi="Arial" w:cs="Arial"/>
                <w:b/>
                <w:sz w:val="16"/>
                <w:szCs w:val="16"/>
              </w:rPr>
            </w:pPr>
          </w:p>
        </w:tc>
        <w:tc>
          <w:tcPr>
            <w:tcW w:w="2683" w:type="dxa"/>
            <w:gridSpan w:val="2"/>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 xml:space="preserve"> Current Services</w:t>
            </w:r>
          </w:p>
          <w:p w:rsidR="00C7599F" w:rsidRPr="00EA7749" w:rsidRDefault="00C7599F" w:rsidP="00EA7749">
            <w:pPr>
              <w:jc w:val="center"/>
              <w:rPr>
                <w:rFonts w:ascii="Arial" w:hAnsi="Arial" w:cs="Arial"/>
                <w:b/>
                <w:sz w:val="16"/>
                <w:szCs w:val="16"/>
              </w:rPr>
            </w:pPr>
            <w:r w:rsidRPr="00EA7749">
              <w:rPr>
                <w:rFonts w:ascii="Arial" w:hAnsi="Arial" w:cs="Arial"/>
                <w:b/>
                <w:sz w:val="16"/>
                <w:szCs w:val="16"/>
              </w:rPr>
              <w:t xml:space="preserve"> Adjustments </w:t>
            </w:r>
            <w:r w:rsidR="00367028" w:rsidRPr="00EA7749">
              <w:rPr>
                <w:rFonts w:ascii="Arial" w:hAnsi="Arial" w:cs="Arial"/>
                <w:b/>
                <w:sz w:val="16"/>
                <w:szCs w:val="16"/>
              </w:rPr>
              <w:t>and  FY</w:t>
            </w:r>
          </w:p>
          <w:p w:rsidR="00367028" w:rsidRPr="00EA7749" w:rsidRDefault="00691459" w:rsidP="00EA7749">
            <w:pPr>
              <w:jc w:val="center"/>
              <w:rPr>
                <w:rFonts w:ascii="Arial" w:hAnsi="Arial" w:cs="Arial"/>
                <w:b/>
                <w:sz w:val="16"/>
                <w:szCs w:val="16"/>
              </w:rPr>
            </w:pPr>
            <w:r>
              <w:rPr>
                <w:rFonts w:ascii="Arial" w:hAnsi="Arial" w:cs="Arial"/>
                <w:b/>
                <w:sz w:val="16"/>
                <w:szCs w:val="16"/>
              </w:rPr>
              <w:t>2012</w:t>
            </w:r>
            <w:r w:rsidR="00367028" w:rsidRPr="00EA7749">
              <w:rPr>
                <w:rFonts w:ascii="Arial" w:hAnsi="Arial" w:cs="Arial"/>
                <w:b/>
                <w:sz w:val="16"/>
                <w:szCs w:val="16"/>
              </w:rPr>
              <w:t xml:space="preserve"> Program</w:t>
            </w:r>
          </w:p>
          <w:p w:rsidR="00367028" w:rsidRPr="00EA7749" w:rsidRDefault="00367028" w:rsidP="00EA7749">
            <w:pPr>
              <w:jc w:val="center"/>
              <w:rPr>
                <w:rFonts w:ascii="Arial" w:hAnsi="Arial" w:cs="Arial"/>
                <w:b/>
                <w:sz w:val="16"/>
                <w:szCs w:val="16"/>
              </w:rPr>
            </w:pPr>
            <w:r w:rsidRPr="00EA7749">
              <w:rPr>
                <w:rFonts w:ascii="Arial" w:hAnsi="Arial" w:cs="Arial"/>
                <w:b/>
                <w:sz w:val="16"/>
                <w:szCs w:val="16"/>
              </w:rPr>
              <w:t>Changes</w:t>
            </w:r>
          </w:p>
        </w:tc>
        <w:tc>
          <w:tcPr>
            <w:tcW w:w="2080" w:type="dxa"/>
            <w:gridSpan w:val="2"/>
          </w:tcPr>
          <w:p w:rsidR="00C7599F" w:rsidRPr="00EA7749" w:rsidRDefault="00C7599F" w:rsidP="00EA7749">
            <w:pPr>
              <w:jc w:val="center"/>
              <w:rPr>
                <w:rFonts w:ascii="Arial" w:hAnsi="Arial" w:cs="Arial"/>
                <w:b/>
                <w:sz w:val="16"/>
                <w:szCs w:val="16"/>
              </w:rPr>
            </w:pPr>
          </w:p>
          <w:p w:rsidR="00C7599F" w:rsidRPr="00EA7749" w:rsidRDefault="00C7599F" w:rsidP="00EA7749">
            <w:pPr>
              <w:jc w:val="center"/>
              <w:rPr>
                <w:rFonts w:ascii="Arial" w:hAnsi="Arial" w:cs="Arial"/>
                <w:b/>
                <w:sz w:val="16"/>
                <w:szCs w:val="16"/>
              </w:rPr>
            </w:pPr>
            <w:r w:rsidRPr="00EA7749">
              <w:rPr>
                <w:rFonts w:ascii="Arial" w:hAnsi="Arial" w:cs="Arial"/>
                <w:b/>
                <w:sz w:val="16"/>
                <w:szCs w:val="16"/>
              </w:rPr>
              <w:t>FY 201</w:t>
            </w:r>
            <w:r w:rsidR="00691459">
              <w:rPr>
                <w:rFonts w:ascii="Arial" w:hAnsi="Arial" w:cs="Arial"/>
                <w:b/>
                <w:sz w:val="16"/>
                <w:szCs w:val="16"/>
              </w:rPr>
              <w:t>2</w:t>
            </w:r>
            <w:r w:rsidR="007E2C22" w:rsidRPr="00EA7749">
              <w:rPr>
                <w:rFonts w:ascii="Arial" w:hAnsi="Arial" w:cs="Arial"/>
                <w:b/>
                <w:sz w:val="16"/>
                <w:szCs w:val="16"/>
              </w:rPr>
              <w:t xml:space="preserve"> R</w:t>
            </w:r>
            <w:r w:rsidRPr="00EA7749">
              <w:rPr>
                <w:rFonts w:ascii="Arial" w:hAnsi="Arial" w:cs="Arial"/>
                <w:b/>
                <w:sz w:val="16"/>
                <w:szCs w:val="16"/>
              </w:rPr>
              <w:t>equest</w:t>
            </w:r>
          </w:p>
        </w:tc>
      </w:tr>
      <w:tr w:rsidR="00C7599F" w:rsidTr="00EA7749">
        <w:trPr>
          <w:trHeight w:val="220"/>
        </w:trPr>
        <w:tc>
          <w:tcPr>
            <w:tcW w:w="3577" w:type="dxa"/>
            <w:gridSpan w:val="2"/>
          </w:tcPr>
          <w:p w:rsidR="00C7599F" w:rsidRPr="00EA7749" w:rsidRDefault="00C7599F" w:rsidP="00C7599F">
            <w:pPr>
              <w:rPr>
                <w:rFonts w:ascii="Arial" w:hAnsi="Arial" w:cs="Arial"/>
                <w:b/>
                <w:sz w:val="16"/>
                <w:szCs w:val="16"/>
              </w:rPr>
            </w:pPr>
            <w:r w:rsidRPr="00EA7749">
              <w:rPr>
                <w:rFonts w:ascii="Arial" w:hAnsi="Arial" w:cs="Arial"/>
                <w:b/>
                <w:sz w:val="16"/>
                <w:szCs w:val="16"/>
              </w:rPr>
              <w:t xml:space="preserve">Workload:  </w:t>
            </w:r>
          </w:p>
        </w:tc>
        <w:tc>
          <w:tcPr>
            <w:tcW w:w="1838" w:type="dxa"/>
            <w:gridSpan w:val="2"/>
          </w:tcPr>
          <w:p w:rsidR="00C7599F" w:rsidRPr="00EA7749" w:rsidRDefault="00C7599F" w:rsidP="00C7599F">
            <w:pPr>
              <w:rPr>
                <w:rFonts w:ascii="Arial" w:hAnsi="Arial" w:cs="Arial"/>
                <w:sz w:val="16"/>
                <w:szCs w:val="16"/>
              </w:rPr>
            </w:pPr>
            <w:r w:rsidRPr="00EA7749">
              <w:rPr>
                <w:rFonts w:ascii="Arial" w:hAnsi="Arial" w:cs="Arial"/>
                <w:sz w:val="16"/>
                <w:szCs w:val="16"/>
              </w:rPr>
              <w:t xml:space="preserve">        </w:t>
            </w:r>
          </w:p>
        </w:tc>
        <w:tc>
          <w:tcPr>
            <w:tcW w:w="1938" w:type="dxa"/>
            <w:gridSpan w:val="2"/>
            <w:shd w:val="clear" w:color="auto" w:fill="E0E0E0"/>
          </w:tcPr>
          <w:p w:rsidR="00C7599F" w:rsidRPr="00EA7749" w:rsidRDefault="00C7599F" w:rsidP="00C7599F">
            <w:pPr>
              <w:rPr>
                <w:rFonts w:ascii="Arial" w:hAnsi="Arial" w:cs="Arial"/>
                <w:sz w:val="16"/>
                <w:szCs w:val="16"/>
              </w:rPr>
            </w:pPr>
          </w:p>
        </w:tc>
        <w:tc>
          <w:tcPr>
            <w:tcW w:w="2394" w:type="dxa"/>
            <w:gridSpan w:val="2"/>
          </w:tcPr>
          <w:p w:rsidR="00C7599F" w:rsidRPr="00EA7749" w:rsidRDefault="00C7599F" w:rsidP="00C7599F">
            <w:pPr>
              <w:rPr>
                <w:rFonts w:ascii="Arial" w:hAnsi="Arial" w:cs="Arial"/>
                <w:sz w:val="16"/>
                <w:szCs w:val="16"/>
              </w:rPr>
            </w:pPr>
          </w:p>
        </w:tc>
        <w:tc>
          <w:tcPr>
            <w:tcW w:w="2683" w:type="dxa"/>
            <w:gridSpan w:val="2"/>
          </w:tcPr>
          <w:p w:rsidR="00C7599F" w:rsidRPr="00EA7749" w:rsidRDefault="00C7599F" w:rsidP="00C7599F">
            <w:pPr>
              <w:rPr>
                <w:rFonts w:ascii="Arial" w:hAnsi="Arial" w:cs="Arial"/>
                <w:sz w:val="16"/>
                <w:szCs w:val="16"/>
              </w:rPr>
            </w:pPr>
          </w:p>
        </w:tc>
        <w:tc>
          <w:tcPr>
            <w:tcW w:w="2080" w:type="dxa"/>
            <w:gridSpan w:val="2"/>
          </w:tcPr>
          <w:p w:rsidR="00C7599F" w:rsidRPr="00EA7749" w:rsidRDefault="00C7599F" w:rsidP="00C7599F">
            <w:pPr>
              <w:rPr>
                <w:rFonts w:ascii="Arial" w:hAnsi="Arial" w:cs="Arial"/>
                <w:sz w:val="16"/>
                <w:szCs w:val="16"/>
              </w:rPr>
            </w:pPr>
          </w:p>
        </w:tc>
      </w:tr>
      <w:tr w:rsidR="00C7599F" w:rsidTr="00EA7749">
        <w:trPr>
          <w:trHeight w:val="220"/>
        </w:trPr>
        <w:tc>
          <w:tcPr>
            <w:tcW w:w="3577" w:type="dxa"/>
            <w:gridSpan w:val="2"/>
          </w:tcPr>
          <w:p w:rsidR="00C7599F" w:rsidRPr="00EA7749" w:rsidRDefault="00C7599F" w:rsidP="00C7599F">
            <w:pPr>
              <w:rPr>
                <w:rFonts w:ascii="Arial" w:hAnsi="Arial" w:cs="Arial"/>
                <w:b/>
                <w:sz w:val="16"/>
                <w:szCs w:val="16"/>
              </w:rPr>
            </w:pPr>
            <w:r w:rsidRPr="00EA7749">
              <w:rPr>
                <w:rFonts w:ascii="Arial" w:hAnsi="Arial" w:cs="Arial"/>
                <w:b/>
                <w:sz w:val="16"/>
                <w:szCs w:val="16"/>
              </w:rPr>
              <w:t>1. Total projects established</w:t>
            </w:r>
          </w:p>
        </w:tc>
        <w:tc>
          <w:tcPr>
            <w:tcW w:w="1838" w:type="dxa"/>
            <w:gridSpan w:val="2"/>
            <w:vAlign w:val="center"/>
          </w:tcPr>
          <w:p w:rsidR="00C7599F" w:rsidRPr="00EA7749" w:rsidRDefault="001A1993" w:rsidP="00EA7749">
            <w:pPr>
              <w:jc w:val="center"/>
              <w:rPr>
                <w:rFonts w:ascii="Arial" w:hAnsi="Arial" w:cs="Arial"/>
                <w:sz w:val="16"/>
                <w:szCs w:val="16"/>
              </w:rPr>
            </w:pPr>
            <w:r w:rsidRPr="00EA7749">
              <w:rPr>
                <w:rFonts w:ascii="Arial" w:hAnsi="Arial" w:cs="Arial"/>
                <w:sz w:val="16"/>
                <w:szCs w:val="16"/>
              </w:rPr>
              <w:t>300</w:t>
            </w:r>
          </w:p>
        </w:tc>
        <w:tc>
          <w:tcPr>
            <w:tcW w:w="1938" w:type="dxa"/>
            <w:gridSpan w:val="2"/>
            <w:tcBorders>
              <w:bottom w:val="single" w:sz="4" w:space="0" w:color="auto"/>
            </w:tcBorders>
            <w:shd w:val="clear" w:color="auto" w:fill="E0E0E0"/>
            <w:vAlign w:val="center"/>
          </w:tcPr>
          <w:p w:rsidR="00C7599F" w:rsidRPr="00EA7749" w:rsidRDefault="00295C4A" w:rsidP="00EA7749">
            <w:pPr>
              <w:jc w:val="center"/>
              <w:rPr>
                <w:rFonts w:ascii="Arial" w:hAnsi="Arial" w:cs="Arial"/>
                <w:sz w:val="16"/>
                <w:szCs w:val="16"/>
              </w:rPr>
            </w:pPr>
            <w:r>
              <w:rPr>
                <w:rFonts w:ascii="Arial" w:hAnsi="Arial" w:cs="Arial"/>
                <w:sz w:val="16"/>
                <w:szCs w:val="16"/>
              </w:rPr>
              <w:t>3</w:t>
            </w:r>
            <w:r w:rsidR="00327623">
              <w:rPr>
                <w:rFonts w:ascii="Arial" w:hAnsi="Arial" w:cs="Arial"/>
                <w:sz w:val="16"/>
                <w:szCs w:val="16"/>
              </w:rPr>
              <w:t>97</w:t>
            </w:r>
          </w:p>
        </w:tc>
        <w:tc>
          <w:tcPr>
            <w:tcW w:w="2394" w:type="dxa"/>
            <w:gridSpan w:val="2"/>
            <w:vAlign w:val="center"/>
          </w:tcPr>
          <w:p w:rsidR="00C7599F" w:rsidRPr="00EA7749" w:rsidRDefault="00691459" w:rsidP="00327623">
            <w:pPr>
              <w:jc w:val="center"/>
              <w:rPr>
                <w:rFonts w:ascii="Arial" w:hAnsi="Arial" w:cs="Arial"/>
                <w:sz w:val="16"/>
                <w:szCs w:val="16"/>
              </w:rPr>
            </w:pPr>
            <w:r>
              <w:rPr>
                <w:rFonts w:ascii="Arial" w:hAnsi="Arial" w:cs="Arial"/>
                <w:sz w:val="16"/>
                <w:szCs w:val="16"/>
              </w:rPr>
              <w:t>3</w:t>
            </w:r>
            <w:r w:rsidR="00327623">
              <w:rPr>
                <w:rFonts w:ascii="Arial" w:hAnsi="Arial" w:cs="Arial"/>
                <w:sz w:val="16"/>
                <w:szCs w:val="16"/>
              </w:rPr>
              <w:t>32</w:t>
            </w:r>
          </w:p>
        </w:tc>
        <w:tc>
          <w:tcPr>
            <w:tcW w:w="2683" w:type="dxa"/>
            <w:gridSpan w:val="2"/>
            <w:vAlign w:val="center"/>
          </w:tcPr>
          <w:p w:rsidR="00C7599F" w:rsidRPr="00EA7749" w:rsidRDefault="00327623" w:rsidP="00327623">
            <w:pPr>
              <w:jc w:val="center"/>
              <w:rPr>
                <w:rFonts w:ascii="Arial" w:hAnsi="Arial" w:cs="Arial"/>
                <w:sz w:val="16"/>
                <w:szCs w:val="16"/>
              </w:rPr>
            </w:pPr>
            <w:r>
              <w:rPr>
                <w:rFonts w:ascii="Arial" w:hAnsi="Arial" w:cs="Arial"/>
                <w:sz w:val="16"/>
                <w:szCs w:val="16"/>
              </w:rPr>
              <w:t>(85)</w:t>
            </w:r>
          </w:p>
        </w:tc>
        <w:tc>
          <w:tcPr>
            <w:tcW w:w="2080" w:type="dxa"/>
            <w:gridSpan w:val="2"/>
            <w:vAlign w:val="center"/>
          </w:tcPr>
          <w:p w:rsidR="00C7599F" w:rsidRPr="00EA7749" w:rsidRDefault="00327623" w:rsidP="002A31D5">
            <w:pPr>
              <w:jc w:val="center"/>
              <w:rPr>
                <w:rFonts w:ascii="Arial" w:hAnsi="Arial" w:cs="Arial"/>
                <w:sz w:val="16"/>
                <w:szCs w:val="16"/>
              </w:rPr>
            </w:pPr>
            <w:r>
              <w:rPr>
                <w:rFonts w:ascii="Arial" w:hAnsi="Arial" w:cs="Arial"/>
                <w:sz w:val="16"/>
                <w:szCs w:val="16"/>
              </w:rPr>
              <w:t>247</w:t>
            </w:r>
          </w:p>
        </w:tc>
      </w:tr>
      <w:tr w:rsidR="00C7599F" w:rsidTr="00EA7749">
        <w:trPr>
          <w:trHeight w:val="220"/>
        </w:trPr>
        <w:tc>
          <w:tcPr>
            <w:tcW w:w="3577" w:type="dxa"/>
            <w:gridSpan w:val="2"/>
            <w:vMerge w:val="restart"/>
          </w:tcPr>
          <w:p w:rsidR="00C7599F" w:rsidRPr="00EA7749" w:rsidRDefault="00C7599F" w:rsidP="00C7599F">
            <w:pPr>
              <w:rPr>
                <w:rFonts w:ascii="Arial" w:hAnsi="Arial" w:cs="Arial"/>
                <w:b/>
                <w:sz w:val="16"/>
                <w:szCs w:val="16"/>
              </w:rPr>
            </w:pPr>
            <w:r w:rsidRPr="00EA7749">
              <w:rPr>
                <w:rFonts w:ascii="Arial" w:hAnsi="Arial" w:cs="Arial"/>
                <w:b/>
                <w:sz w:val="16"/>
                <w:szCs w:val="16"/>
              </w:rPr>
              <w:t>Total Costs and FTE</w:t>
            </w:r>
          </w:p>
          <w:p w:rsidR="00C7599F" w:rsidRPr="00EA7749" w:rsidRDefault="00C7599F" w:rsidP="00C7599F">
            <w:pPr>
              <w:rPr>
                <w:rFonts w:ascii="Arial" w:hAnsi="Arial" w:cs="Arial"/>
                <w:sz w:val="14"/>
                <w:szCs w:val="14"/>
              </w:rPr>
            </w:pPr>
          </w:p>
        </w:tc>
        <w:tc>
          <w:tcPr>
            <w:tcW w:w="892"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FTE</w:t>
            </w:r>
          </w:p>
        </w:tc>
        <w:tc>
          <w:tcPr>
            <w:tcW w:w="946"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$000</w:t>
            </w:r>
          </w:p>
        </w:tc>
        <w:tc>
          <w:tcPr>
            <w:tcW w:w="855" w:type="dxa"/>
            <w:shd w:val="clear" w:color="auto" w:fill="E0E0E0"/>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FTE</w:t>
            </w:r>
          </w:p>
        </w:tc>
        <w:tc>
          <w:tcPr>
            <w:tcW w:w="1083" w:type="dxa"/>
            <w:shd w:val="clear" w:color="auto" w:fill="E0E0E0"/>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$000</w:t>
            </w:r>
          </w:p>
        </w:tc>
        <w:tc>
          <w:tcPr>
            <w:tcW w:w="1140"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FTE</w:t>
            </w:r>
          </w:p>
        </w:tc>
        <w:tc>
          <w:tcPr>
            <w:tcW w:w="1254"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$000</w:t>
            </w:r>
          </w:p>
        </w:tc>
        <w:tc>
          <w:tcPr>
            <w:tcW w:w="1368"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FTE</w:t>
            </w:r>
          </w:p>
        </w:tc>
        <w:tc>
          <w:tcPr>
            <w:tcW w:w="1315"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$000</w:t>
            </w:r>
          </w:p>
        </w:tc>
        <w:tc>
          <w:tcPr>
            <w:tcW w:w="1040"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FTE</w:t>
            </w:r>
          </w:p>
        </w:tc>
        <w:tc>
          <w:tcPr>
            <w:tcW w:w="1040" w:type="dxa"/>
          </w:tcPr>
          <w:p w:rsidR="00C7599F" w:rsidRPr="00EA7749" w:rsidRDefault="00C7599F" w:rsidP="00EA7749">
            <w:pPr>
              <w:jc w:val="center"/>
              <w:rPr>
                <w:rFonts w:ascii="Arial" w:hAnsi="Arial" w:cs="Arial"/>
                <w:b/>
                <w:sz w:val="16"/>
                <w:szCs w:val="16"/>
              </w:rPr>
            </w:pPr>
            <w:r w:rsidRPr="00EA7749">
              <w:rPr>
                <w:rFonts w:ascii="Arial" w:hAnsi="Arial" w:cs="Arial"/>
                <w:b/>
                <w:sz w:val="16"/>
                <w:szCs w:val="16"/>
              </w:rPr>
              <w:t>$000</w:t>
            </w:r>
          </w:p>
        </w:tc>
      </w:tr>
      <w:tr w:rsidR="00A81193" w:rsidTr="00EA7749">
        <w:trPr>
          <w:trHeight w:val="235"/>
        </w:trPr>
        <w:tc>
          <w:tcPr>
            <w:tcW w:w="3577" w:type="dxa"/>
            <w:gridSpan w:val="2"/>
            <w:vMerge/>
          </w:tcPr>
          <w:p w:rsidR="00A81193" w:rsidRPr="00EA7749" w:rsidRDefault="00A81193" w:rsidP="00C7599F">
            <w:pPr>
              <w:rPr>
                <w:rFonts w:ascii="Arial" w:hAnsi="Arial" w:cs="Arial"/>
                <w:sz w:val="16"/>
                <w:szCs w:val="16"/>
              </w:rPr>
            </w:pPr>
          </w:p>
        </w:tc>
        <w:tc>
          <w:tcPr>
            <w:tcW w:w="892" w:type="dxa"/>
          </w:tcPr>
          <w:p w:rsidR="00A81193" w:rsidRPr="00EA7749" w:rsidRDefault="00B42393" w:rsidP="00EA7749">
            <w:pPr>
              <w:jc w:val="center"/>
              <w:rPr>
                <w:rFonts w:ascii="Arial" w:hAnsi="Arial" w:cs="Arial"/>
                <w:sz w:val="16"/>
                <w:szCs w:val="16"/>
              </w:rPr>
            </w:pPr>
            <w:r>
              <w:rPr>
                <w:rFonts w:ascii="Arial" w:hAnsi="Arial" w:cs="Arial"/>
                <w:sz w:val="16"/>
                <w:szCs w:val="16"/>
              </w:rPr>
              <w:t>268</w:t>
            </w:r>
          </w:p>
        </w:tc>
        <w:tc>
          <w:tcPr>
            <w:tcW w:w="946" w:type="dxa"/>
          </w:tcPr>
          <w:p w:rsidR="00A81193" w:rsidRPr="00EA7749" w:rsidRDefault="00B42393" w:rsidP="00EA7749">
            <w:pPr>
              <w:jc w:val="center"/>
              <w:rPr>
                <w:rFonts w:ascii="Arial" w:hAnsi="Arial" w:cs="Arial"/>
                <w:sz w:val="16"/>
                <w:szCs w:val="16"/>
              </w:rPr>
            </w:pPr>
            <w:r>
              <w:rPr>
                <w:rFonts w:ascii="Arial" w:hAnsi="Arial" w:cs="Arial"/>
                <w:sz w:val="16"/>
                <w:szCs w:val="16"/>
              </w:rPr>
              <w:t>99,155</w:t>
            </w:r>
          </w:p>
        </w:tc>
        <w:tc>
          <w:tcPr>
            <w:tcW w:w="855" w:type="dxa"/>
            <w:shd w:val="clear" w:color="auto" w:fill="E0E0E0"/>
          </w:tcPr>
          <w:p w:rsidR="00A81193" w:rsidRPr="00EA7749" w:rsidRDefault="0062050D" w:rsidP="00EA7749">
            <w:pPr>
              <w:jc w:val="center"/>
              <w:rPr>
                <w:rFonts w:ascii="Arial" w:hAnsi="Arial" w:cs="Arial"/>
                <w:sz w:val="16"/>
                <w:szCs w:val="16"/>
              </w:rPr>
            </w:pPr>
            <w:r>
              <w:rPr>
                <w:rFonts w:ascii="Arial" w:hAnsi="Arial" w:cs="Arial"/>
                <w:sz w:val="16"/>
                <w:szCs w:val="16"/>
              </w:rPr>
              <w:t>268</w:t>
            </w:r>
          </w:p>
        </w:tc>
        <w:tc>
          <w:tcPr>
            <w:tcW w:w="1083" w:type="dxa"/>
            <w:shd w:val="clear" w:color="auto" w:fill="E0E0E0"/>
          </w:tcPr>
          <w:p w:rsidR="00A81193" w:rsidRPr="00EA7749" w:rsidRDefault="0062050D" w:rsidP="00EA7749">
            <w:pPr>
              <w:jc w:val="center"/>
              <w:rPr>
                <w:rFonts w:ascii="Arial" w:hAnsi="Arial" w:cs="Arial"/>
                <w:sz w:val="16"/>
                <w:szCs w:val="16"/>
              </w:rPr>
            </w:pPr>
            <w:r>
              <w:rPr>
                <w:rFonts w:ascii="Arial" w:hAnsi="Arial" w:cs="Arial"/>
                <w:sz w:val="16"/>
                <w:szCs w:val="16"/>
              </w:rPr>
              <w:t>99,155</w:t>
            </w:r>
          </w:p>
        </w:tc>
        <w:tc>
          <w:tcPr>
            <w:tcW w:w="1140" w:type="dxa"/>
          </w:tcPr>
          <w:p w:rsidR="00A81193" w:rsidRPr="00EA7749" w:rsidRDefault="00B42393" w:rsidP="00EA7749">
            <w:pPr>
              <w:jc w:val="center"/>
              <w:rPr>
                <w:rFonts w:ascii="Arial" w:hAnsi="Arial" w:cs="Arial"/>
                <w:sz w:val="16"/>
                <w:szCs w:val="16"/>
              </w:rPr>
            </w:pPr>
            <w:r>
              <w:rPr>
                <w:rFonts w:ascii="Arial" w:hAnsi="Arial" w:cs="Arial"/>
                <w:sz w:val="16"/>
                <w:szCs w:val="16"/>
              </w:rPr>
              <w:t>268</w:t>
            </w:r>
          </w:p>
        </w:tc>
        <w:tc>
          <w:tcPr>
            <w:tcW w:w="1254" w:type="dxa"/>
          </w:tcPr>
          <w:p w:rsidR="00A81193" w:rsidRPr="00EA7749" w:rsidRDefault="00AB6E5D" w:rsidP="00AB6E5D">
            <w:pPr>
              <w:jc w:val="center"/>
              <w:rPr>
                <w:rFonts w:ascii="Arial" w:hAnsi="Arial" w:cs="Arial"/>
                <w:sz w:val="16"/>
                <w:szCs w:val="16"/>
              </w:rPr>
            </w:pPr>
            <w:r>
              <w:rPr>
                <w:rFonts w:ascii="Arial" w:hAnsi="Arial" w:cs="Arial"/>
                <w:sz w:val="16"/>
                <w:szCs w:val="16"/>
              </w:rPr>
              <w:t>9</w:t>
            </w:r>
            <w:r w:rsidR="00B42393">
              <w:rPr>
                <w:rFonts w:ascii="Arial" w:hAnsi="Arial" w:cs="Arial"/>
                <w:sz w:val="16"/>
                <w:szCs w:val="16"/>
              </w:rPr>
              <w:t>9,</w:t>
            </w:r>
            <w:r>
              <w:rPr>
                <w:rFonts w:ascii="Arial" w:hAnsi="Arial" w:cs="Arial"/>
                <w:sz w:val="16"/>
                <w:szCs w:val="16"/>
              </w:rPr>
              <w:t>155</w:t>
            </w:r>
          </w:p>
        </w:tc>
        <w:tc>
          <w:tcPr>
            <w:tcW w:w="1368" w:type="dxa"/>
          </w:tcPr>
          <w:p w:rsidR="00A81193" w:rsidRPr="00EA7749" w:rsidRDefault="00295C4A" w:rsidP="0062050D">
            <w:pPr>
              <w:jc w:val="center"/>
              <w:rPr>
                <w:rFonts w:ascii="Arial" w:hAnsi="Arial" w:cs="Arial"/>
                <w:sz w:val="16"/>
                <w:szCs w:val="16"/>
              </w:rPr>
            </w:pPr>
            <w:r>
              <w:rPr>
                <w:rFonts w:ascii="Arial" w:hAnsi="Arial" w:cs="Arial"/>
                <w:sz w:val="16"/>
                <w:szCs w:val="16"/>
              </w:rPr>
              <w:t>(</w:t>
            </w:r>
            <w:r w:rsidR="00B42393">
              <w:rPr>
                <w:rFonts w:ascii="Arial" w:hAnsi="Arial" w:cs="Arial"/>
                <w:sz w:val="16"/>
                <w:szCs w:val="16"/>
              </w:rPr>
              <w:t>1</w:t>
            </w:r>
            <w:r w:rsidR="0062050D">
              <w:rPr>
                <w:rFonts w:ascii="Arial" w:hAnsi="Arial" w:cs="Arial"/>
                <w:sz w:val="16"/>
                <w:szCs w:val="16"/>
              </w:rPr>
              <w:t>2</w:t>
            </w:r>
            <w:r>
              <w:rPr>
                <w:rFonts w:ascii="Arial" w:hAnsi="Arial" w:cs="Arial"/>
                <w:sz w:val="16"/>
                <w:szCs w:val="16"/>
              </w:rPr>
              <w:t>)</w:t>
            </w:r>
          </w:p>
        </w:tc>
        <w:tc>
          <w:tcPr>
            <w:tcW w:w="1315" w:type="dxa"/>
          </w:tcPr>
          <w:p w:rsidR="00A81193" w:rsidRPr="00EA7749" w:rsidRDefault="0062050D" w:rsidP="00AB6E5D">
            <w:pPr>
              <w:jc w:val="center"/>
              <w:rPr>
                <w:rFonts w:ascii="Arial" w:hAnsi="Arial" w:cs="Arial"/>
                <w:sz w:val="16"/>
                <w:szCs w:val="16"/>
              </w:rPr>
            </w:pPr>
            <w:r>
              <w:rPr>
                <w:rFonts w:ascii="Arial" w:hAnsi="Arial" w:cs="Arial"/>
                <w:sz w:val="16"/>
                <w:szCs w:val="16"/>
              </w:rPr>
              <w:t>(</w:t>
            </w:r>
            <w:r w:rsidR="00AB6E5D">
              <w:rPr>
                <w:rFonts w:ascii="Arial" w:hAnsi="Arial" w:cs="Arial"/>
                <w:sz w:val="16"/>
                <w:szCs w:val="16"/>
              </w:rPr>
              <w:t>23</w:t>
            </w:r>
            <w:r>
              <w:rPr>
                <w:rFonts w:ascii="Arial" w:hAnsi="Arial" w:cs="Arial"/>
                <w:sz w:val="16"/>
                <w:szCs w:val="16"/>
              </w:rPr>
              <w:t>9)</w:t>
            </w:r>
          </w:p>
        </w:tc>
        <w:tc>
          <w:tcPr>
            <w:tcW w:w="1040" w:type="dxa"/>
          </w:tcPr>
          <w:p w:rsidR="00A81193" w:rsidRPr="00EA7749" w:rsidRDefault="00B42393" w:rsidP="0062050D">
            <w:pPr>
              <w:jc w:val="center"/>
              <w:rPr>
                <w:rFonts w:ascii="Arial" w:hAnsi="Arial" w:cs="Arial"/>
                <w:sz w:val="16"/>
                <w:szCs w:val="16"/>
              </w:rPr>
            </w:pPr>
            <w:r>
              <w:rPr>
                <w:rFonts w:ascii="Arial" w:hAnsi="Arial" w:cs="Arial"/>
                <w:sz w:val="16"/>
                <w:szCs w:val="16"/>
              </w:rPr>
              <w:t>2</w:t>
            </w:r>
            <w:r w:rsidR="0062050D">
              <w:rPr>
                <w:rFonts w:ascii="Arial" w:hAnsi="Arial" w:cs="Arial"/>
                <w:sz w:val="16"/>
                <w:szCs w:val="16"/>
              </w:rPr>
              <w:t>5</w:t>
            </w:r>
            <w:r>
              <w:rPr>
                <w:rFonts w:ascii="Arial" w:hAnsi="Arial" w:cs="Arial"/>
                <w:sz w:val="16"/>
                <w:szCs w:val="16"/>
              </w:rPr>
              <w:t>6</w:t>
            </w:r>
          </w:p>
        </w:tc>
        <w:tc>
          <w:tcPr>
            <w:tcW w:w="1040" w:type="dxa"/>
          </w:tcPr>
          <w:p w:rsidR="00A81193" w:rsidRPr="00EA7749" w:rsidRDefault="00AB6E5D" w:rsidP="00AB6E5D">
            <w:pPr>
              <w:jc w:val="center"/>
              <w:rPr>
                <w:rFonts w:ascii="Arial" w:hAnsi="Arial" w:cs="Arial"/>
                <w:sz w:val="16"/>
                <w:szCs w:val="16"/>
              </w:rPr>
            </w:pPr>
            <w:r>
              <w:rPr>
                <w:rFonts w:ascii="Arial" w:hAnsi="Arial" w:cs="Arial"/>
                <w:sz w:val="16"/>
                <w:szCs w:val="16"/>
              </w:rPr>
              <w:t>99</w:t>
            </w:r>
            <w:r w:rsidR="00B42393">
              <w:rPr>
                <w:rFonts w:ascii="Arial" w:hAnsi="Arial" w:cs="Arial"/>
                <w:sz w:val="16"/>
                <w:szCs w:val="16"/>
              </w:rPr>
              <w:t>,</w:t>
            </w:r>
            <w:r>
              <w:rPr>
                <w:rFonts w:ascii="Arial" w:hAnsi="Arial" w:cs="Arial"/>
                <w:sz w:val="16"/>
                <w:szCs w:val="16"/>
              </w:rPr>
              <w:t>394</w:t>
            </w:r>
          </w:p>
        </w:tc>
      </w:tr>
      <w:tr w:rsidR="00A81193" w:rsidTr="00EA7749">
        <w:trPr>
          <w:trHeight w:val="661"/>
        </w:trPr>
        <w:tc>
          <w:tcPr>
            <w:tcW w:w="1348" w:type="dxa"/>
          </w:tcPr>
          <w:p w:rsidR="00A81193" w:rsidRPr="00EA7749" w:rsidRDefault="00A81193" w:rsidP="00C7599F">
            <w:pPr>
              <w:rPr>
                <w:rFonts w:ascii="Arial" w:hAnsi="Arial" w:cs="Arial"/>
                <w:b/>
                <w:sz w:val="16"/>
                <w:szCs w:val="16"/>
              </w:rPr>
            </w:pPr>
            <w:r w:rsidRPr="00EA7749">
              <w:rPr>
                <w:rFonts w:ascii="Arial" w:hAnsi="Arial" w:cs="Arial"/>
                <w:b/>
                <w:sz w:val="16"/>
                <w:szCs w:val="16"/>
              </w:rPr>
              <w:t>TYPE/ STRATEGIC OBJECTIVE</w:t>
            </w:r>
          </w:p>
        </w:tc>
        <w:tc>
          <w:tcPr>
            <w:tcW w:w="2229" w:type="dxa"/>
          </w:tcPr>
          <w:p w:rsidR="00A81193" w:rsidRPr="00EA7749" w:rsidRDefault="00A81193" w:rsidP="00C7599F">
            <w:pPr>
              <w:rPr>
                <w:rFonts w:ascii="Arial" w:hAnsi="Arial" w:cs="Arial"/>
                <w:b/>
                <w:sz w:val="16"/>
                <w:szCs w:val="16"/>
              </w:rPr>
            </w:pPr>
          </w:p>
          <w:p w:rsidR="00A81193" w:rsidRPr="00EA7749" w:rsidRDefault="00A81193" w:rsidP="00EA7749">
            <w:pPr>
              <w:jc w:val="center"/>
              <w:rPr>
                <w:rFonts w:ascii="Arial" w:hAnsi="Arial" w:cs="Arial"/>
                <w:b/>
                <w:sz w:val="16"/>
                <w:szCs w:val="16"/>
              </w:rPr>
            </w:pPr>
            <w:r w:rsidRPr="00EA7749">
              <w:rPr>
                <w:rFonts w:ascii="Arial" w:hAnsi="Arial" w:cs="Arial"/>
                <w:b/>
                <w:sz w:val="16"/>
                <w:szCs w:val="16"/>
              </w:rPr>
              <w:t>Performance</w:t>
            </w:r>
          </w:p>
        </w:tc>
        <w:tc>
          <w:tcPr>
            <w:tcW w:w="1838" w:type="dxa"/>
            <w:gridSpan w:val="2"/>
          </w:tcPr>
          <w:p w:rsidR="00A81193" w:rsidRPr="00EA7749" w:rsidRDefault="00A81193" w:rsidP="00EA7749">
            <w:pPr>
              <w:jc w:val="center"/>
              <w:rPr>
                <w:rFonts w:ascii="Arial" w:hAnsi="Arial" w:cs="Arial"/>
                <w:b/>
                <w:sz w:val="16"/>
                <w:szCs w:val="16"/>
              </w:rPr>
            </w:pPr>
          </w:p>
          <w:p w:rsidR="00A81193" w:rsidRPr="00EA7749" w:rsidRDefault="00691459" w:rsidP="00EA7749">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10</w:t>
            </w:r>
          </w:p>
        </w:tc>
        <w:tc>
          <w:tcPr>
            <w:tcW w:w="1938" w:type="dxa"/>
            <w:gridSpan w:val="2"/>
            <w:shd w:val="clear" w:color="auto" w:fill="E0E0E0"/>
          </w:tcPr>
          <w:p w:rsidR="00A81193" w:rsidRPr="00EA7749" w:rsidRDefault="00A81193" w:rsidP="00EA7749">
            <w:pPr>
              <w:jc w:val="center"/>
              <w:rPr>
                <w:rFonts w:ascii="Arial" w:hAnsi="Arial" w:cs="Arial"/>
                <w:b/>
                <w:sz w:val="16"/>
                <w:szCs w:val="16"/>
              </w:rPr>
            </w:pPr>
          </w:p>
          <w:p w:rsidR="00A81193" w:rsidRPr="00EA7749" w:rsidRDefault="00691459" w:rsidP="00EA7749">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10</w:t>
            </w:r>
          </w:p>
        </w:tc>
        <w:tc>
          <w:tcPr>
            <w:tcW w:w="2394" w:type="dxa"/>
            <w:gridSpan w:val="2"/>
          </w:tcPr>
          <w:p w:rsidR="00A81193" w:rsidRPr="00EA7749" w:rsidRDefault="00A81193" w:rsidP="00EA7749">
            <w:pPr>
              <w:jc w:val="center"/>
              <w:rPr>
                <w:rFonts w:ascii="Arial" w:hAnsi="Arial" w:cs="Arial"/>
                <w:b/>
                <w:sz w:val="16"/>
                <w:szCs w:val="16"/>
              </w:rPr>
            </w:pPr>
          </w:p>
          <w:p w:rsidR="00691459" w:rsidRPr="00EA7749" w:rsidRDefault="00691459" w:rsidP="00691459">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 xml:space="preserve">11 </w:t>
            </w:r>
            <w:r w:rsidR="00327623">
              <w:rPr>
                <w:rFonts w:ascii="Arial" w:hAnsi="Arial" w:cs="Arial"/>
                <w:b/>
                <w:sz w:val="16"/>
                <w:szCs w:val="16"/>
              </w:rPr>
              <w:t>CR</w:t>
            </w:r>
          </w:p>
          <w:p w:rsidR="00A81193" w:rsidRPr="00EA7749" w:rsidRDefault="00A81193" w:rsidP="00647014">
            <w:pPr>
              <w:jc w:val="center"/>
              <w:rPr>
                <w:rFonts w:ascii="Arial" w:hAnsi="Arial" w:cs="Arial"/>
                <w:b/>
                <w:sz w:val="16"/>
                <w:szCs w:val="16"/>
              </w:rPr>
            </w:pPr>
          </w:p>
        </w:tc>
        <w:tc>
          <w:tcPr>
            <w:tcW w:w="2683" w:type="dxa"/>
            <w:gridSpan w:val="2"/>
          </w:tcPr>
          <w:p w:rsidR="00691459" w:rsidRPr="00EA7749" w:rsidRDefault="00A81193" w:rsidP="00691459">
            <w:pPr>
              <w:jc w:val="center"/>
              <w:rPr>
                <w:rFonts w:ascii="Arial" w:hAnsi="Arial" w:cs="Arial"/>
                <w:b/>
                <w:sz w:val="16"/>
                <w:szCs w:val="16"/>
              </w:rPr>
            </w:pPr>
            <w:r w:rsidRPr="00EA7749">
              <w:rPr>
                <w:rFonts w:ascii="Arial" w:hAnsi="Arial" w:cs="Arial"/>
                <w:b/>
                <w:sz w:val="16"/>
                <w:szCs w:val="16"/>
              </w:rPr>
              <w:t xml:space="preserve"> </w:t>
            </w:r>
            <w:r w:rsidR="00691459" w:rsidRPr="00EA7749">
              <w:rPr>
                <w:rFonts w:ascii="Arial" w:hAnsi="Arial" w:cs="Arial"/>
                <w:b/>
                <w:sz w:val="16"/>
                <w:szCs w:val="16"/>
              </w:rPr>
              <w:t>Current Services</w:t>
            </w:r>
          </w:p>
          <w:p w:rsidR="00691459" w:rsidRPr="00EA7749" w:rsidRDefault="00691459" w:rsidP="00691459">
            <w:pPr>
              <w:jc w:val="center"/>
              <w:rPr>
                <w:rFonts w:ascii="Arial" w:hAnsi="Arial" w:cs="Arial"/>
                <w:b/>
                <w:sz w:val="16"/>
                <w:szCs w:val="16"/>
              </w:rPr>
            </w:pPr>
            <w:r w:rsidRPr="00EA7749">
              <w:rPr>
                <w:rFonts w:ascii="Arial" w:hAnsi="Arial" w:cs="Arial"/>
                <w:b/>
                <w:sz w:val="16"/>
                <w:szCs w:val="16"/>
              </w:rPr>
              <w:t xml:space="preserve"> Adjustments and  FY</w:t>
            </w:r>
          </w:p>
          <w:p w:rsidR="00691459" w:rsidRPr="00EA7749" w:rsidRDefault="00691459" w:rsidP="00691459">
            <w:pPr>
              <w:jc w:val="center"/>
              <w:rPr>
                <w:rFonts w:ascii="Arial" w:hAnsi="Arial" w:cs="Arial"/>
                <w:b/>
                <w:sz w:val="16"/>
                <w:szCs w:val="16"/>
              </w:rPr>
            </w:pPr>
            <w:r>
              <w:rPr>
                <w:rFonts w:ascii="Arial" w:hAnsi="Arial" w:cs="Arial"/>
                <w:b/>
                <w:sz w:val="16"/>
                <w:szCs w:val="16"/>
              </w:rPr>
              <w:t>2012</w:t>
            </w:r>
            <w:r w:rsidRPr="00EA7749">
              <w:rPr>
                <w:rFonts w:ascii="Arial" w:hAnsi="Arial" w:cs="Arial"/>
                <w:b/>
                <w:sz w:val="16"/>
                <w:szCs w:val="16"/>
              </w:rPr>
              <w:t xml:space="preserve"> Program</w:t>
            </w:r>
          </w:p>
          <w:p w:rsidR="00A81193" w:rsidRPr="00EA7749" w:rsidRDefault="00691459" w:rsidP="00691459">
            <w:pPr>
              <w:jc w:val="center"/>
              <w:rPr>
                <w:rFonts w:ascii="Arial" w:hAnsi="Arial" w:cs="Arial"/>
                <w:b/>
                <w:sz w:val="16"/>
                <w:szCs w:val="16"/>
              </w:rPr>
            </w:pPr>
            <w:r w:rsidRPr="00EA7749">
              <w:rPr>
                <w:rFonts w:ascii="Arial" w:hAnsi="Arial" w:cs="Arial"/>
                <w:b/>
                <w:sz w:val="16"/>
                <w:szCs w:val="16"/>
              </w:rPr>
              <w:t>Changes</w:t>
            </w:r>
          </w:p>
        </w:tc>
        <w:tc>
          <w:tcPr>
            <w:tcW w:w="2080" w:type="dxa"/>
            <w:gridSpan w:val="2"/>
          </w:tcPr>
          <w:p w:rsidR="00A81193" w:rsidRPr="00EA7749" w:rsidRDefault="00A81193" w:rsidP="00EA7749">
            <w:pPr>
              <w:jc w:val="center"/>
              <w:rPr>
                <w:rFonts w:ascii="Arial" w:hAnsi="Arial" w:cs="Arial"/>
                <w:b/>
                <w:sz w:val="16"/>
                <w:szCs w:val="16"/>
              </w:rPr>
            </w:pPr>
          </w:p>
          <w:p w:rsidR="00A81193" w:rsidRPr="00EA7749" w:rsidRDefault="00691459" w:rsidP="00EA7749">
            <w:pPr>
              <w:jc w:val="center"/>
              <w:rPr>
                <w:rFonts w:ascii="Arial" w:hAnsi="Arial" w:cs="Arial"/>
                <w:b/>
                <w:sz w:val="16"/>
                <w:szCs w:val="16"/>
              </w:rPr>
            </w:pPr>
            <w:r w:rsidRPr="00EA7749">
              <w:rPr>
                <w:rFonts w:ascii="Arial" w:hAnsi="Arial" w:cs="Arial"/>
                <w:b/>
                <w:sz w:val="16"/>
                <w:szCs w:val="16"/>
              </w:rPr>
              <w:t>FY 201</w:t>
            </w:r>
            <w:r>
              <w:rPr>
                <w:rFonts w:ascii="Arial" w:hAnsi="Arial" w:cs="Arial"/>
                <w:b/>
                <w:sz w:val="16"/>
                <w:szCs w:val="16"/>
              </w:rPr>
              <w:t>2</w:t>
            </w:r>
            <w:r w:rsidRPr="00EA7749">
              <w:rPr>
                <w:rFonts w:ascii="Arial" w:hAnsi="Arial" w:cs="Arial"/>
                <w:b/>
                <w:sz w:val="16"/>
                <w:szCs w:val="16"/>
              </w:rPr>
              <w:t xml:space="preserve"> Request</w:t>
            </w:r>
          </w:p>
        </w:tc>
      </w:tr>
      <w:tr w:rsidR="00A81193" w:rsidTr="00EA7749">
        <w:trPr>
          <w:trHeight w:val="441"/>
        </w:trPr>
        <w:tc>
          <w:tcPr>
            <w:tcW w:w="1348" w:type="dxa"/>
          </w:tcPr>
          <w:p w:rsidR="00A81193" w:rsidRPr="00EA7749" w:rsidRDefault="00A81193" w:rsidP="00C7599F">
            <w:pPr>
              <w:rPr>
                <w:rFonts w:ascii="Arial" w:hAnsi="Arial" w:cs="Arial"/>
                <w:b/>
                <w:sz w:val="16"/>
                <w:szCs w:val="16"/>
              </w:rPr>
            </w:pPr>
            <w:r w:rsidRPr="00EA7749">
              <w:rPr>
                <w:rFonts w:ascii="Arial" w:hAnsi="Arial" w:cs="Arial"/>
                <w:b/>
                <w:sz w:val="16"/>
                <w:szCs w:val="16"/>
              </w:rPr>
              <w:t>Program Activity</w:t>
            </w:r>
          </w:p>
        </w:tc>
        <w:tc>
          <w:tcPr>
            <w:tcW w:w="2229" w:type="dxa"/>
          </w:tcPr>
          <w:p w:rsidR="00A81193" w:rsidRPr="00EA7749" w:rsidRDefault="00A81193" w:rsidP="00C7599F">
            <w:pPr>
              <w:rPr>
                <w:rFonts w:ascii="Arial" w:hAnsi="Arial" w:cs="Arial"/>
                <w:sz w:val="16"/>
                <w:szCs w:val="16"/>
              </w:rPr>
            </w:pPr>
          </w:p>
        </w:tc>
        <w:tc>
          <w:tcPr>
            <w:tcW w:w="892"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FTE</w:t>
            </w:r>
          </w:p>
          <w:p w:rsidR="00A81193" w:rsidRPr="00EA7749" w:rsidRDefault="00B42393" w:rsidP="00EA7749">
            <w:pPr>
              <w:jc w:val="center"/>
              <w:rPr>
                <w:rFonts w:ascii="Arial" w:hAnsi="Arial" w:cs="Arial"/>
                <w:sz w:val="16"/>
                <w:szCs w:val="16"/>
              </w:rPr>
            </w:pPr>
            <w:r>
              <w:rPr>
                <w:rFonts w:ascii="Arial" w:hAnsi="Arial" w:cs="Arial"/>
                <w:sz w:val="16"/>
                <w:szCs w:val="16"/>
              </w:rPr>
              <w:t>143</w:t>
            </w:r>
          </w:p>
        </w:tc>
        <w:tc>
          <w:tcPr>
            <w:tcW w:w="946" w:type="dxa"/>
            <w:tcBorders>
              <w:bottom w:val="nil"/>
            </w:tcBorders>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$000</w:t>
            </w:r>
          </w:p>
          <w:p w:rsidR="00A81193" w:rsidRPr="00EA7749" w:rsidRDefault="00B42393" w:rsidP="00EA7749">
            <w:pPr>
              <w:jc w:val="center"/>
              <w:rPr>
                <w:rFonts w:ascii="Arial" w:hAnsi="Arial" w:cs="Arial"/>
                <w:sz w:val="16"/>
                <w:szCs w:val="16"/>
              </w:rPr>
            </w:pPr>
            <w:r>
              <w:rPr>
                <w:rFonts w:ascii="Arial" w:hAnsi="Arial" w:cs="Arial"/>
                <w:sz w:val="16"/>
                <w:szCs w:val="16"/>
              </w:rPr>
              <w:t>73,769</w:t>
            </w:r>
          </w:p>
        </w:tc>
        <w:tc>
          <w:tcPr>
            <w:tcW w:w="855" w:type="dxa"/>
            <w:tcBorders>
              <w:bottom w:val="single" w:sz="4" w:space="0" w:color="auto"/>
            </w:tcBorders>
            <w:shd w:val="clear" w:color="auto" w:fill="E0E0E0"/>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FTE</w:t>
            </w:r>
          </w:p>
          <w:p w:rsidR="00A81193" w:rsidRPr="00EA7749" w:rsidRDefault="0062050D" w:rsidP="00EA7749">
            <w:pPr>
              <w:jc w:val="center"/>
              <w:rPr>
                <w:rFonts w:ascii="Arial" w:hAnsi="Arial" w:cs="Arial"/>
                <w:sz w:val="16"/>
                <w:szCs w:val="16"/>
              </w:rPr>
            </w:pPr>
            <w:r>
              <w:rPr>
                <w:rFonts w:ascii="Arial" w:hAnsi="Arial" w:cs="Arial"/>
                <w:sz w:val="16"/>
                <w:szCs w:val="16"/>
              </w:rPr>
              <w:t>143</w:t>
            </w:r>
          </w:p>
        </w:tc>
        <w:tc>
          <w:tcPr>
            <w:tcW w:w="1083" w:type="dxa"/>
            <w:tcBorders>
              <w:bottom w:val="single" w:sz="4" w:space="0" w:color="auto"/>
            </w:tcBorders>
            <w:shd w:val="clear" w:color="auto" w:fill="E0E0E0"/>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$000</w:t>
            </w:r>
          </w:p>
          <w:p w:rsidR="00A81193" w:rsidRPr="00EA7749" w:rsidRDefault="0062050D" w:rsidP="00691459">
            <w:pPr>
              <w:jc w:val="center"/>
              <w:rPr>
                <w:rFonts w:ascii="Arial" w:hAnsi="Arial" w:cs="Arial"/>
                <w:sz w:val="16"/>
                <w:szCs w:val="16"/>
              </w:rPr>
            </w:pPr>
            <w:r>
              <w:rPr>
                <w:rFonts w:ascii="Arial" w:hAnsi="Arial" w:cs="Arial"/>
                <w:sz w:val="16"/>
                <w:szCs w:val="16"/>
              </w:rPr>
              <w:t>73,769</w:t>
            </w:r>
          </w:p>
        </w:tc>
        <w:tc>
          <w:tcPr>
            <w:tcW w:w="1140"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FTE</w:t>
            </w:r>
          </w:p>
          <w:p w:rsidR="00A81193" w:rsidRPr="00EA7749" w:rsidRDefault="00B42393" w:rsidP="00AB6E5D">
            <w:pPr>
              <w:jc w:val="center"/>
              <w:rPr>
                <w:rFonts w:ascii="Arial" w:hAnsi="Arial" w:cs="Arial"/>
                <w:sz w:val="16"/>
                <w:szCs w:val="16"/>
              </w:rPr>
            </w:pPr>
            <w:r>
              <w:rPr>
                <w:rFonts w:ascii="Arial" w:hAnsi="Arial" w:cs="Arial"/>
                <w:sz w:val="16"/>
                <w:szCs w:val="16"/>
              </w:rPr>
              <w:t>14</w:t>
            </w:r>
            <w:r w:rsidR="00AB6E5D">
              <w:rPr>
                <w:rFonts w:ascii="Arial" w:hAnsi="Arial" w:cs="Arial"/>
                <w:sz w:val="16"/>
                <w:szCs w:val="16"/>
              </w:rPr>
              <w:t>3</w:t>
            </w:r>
          </w:p>
        </w:tc>
        <w:tc>
          <w:tcPr>
            <w:tcW w:w="1254"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$000</w:t>
            </w:r>
          </w:p>
          <w:p w:rsidR="00A81193" w:rsidRPr="00EA7749" w:rsidRDefault="00B42393" w:rsidP="00AB6E5D">
            <w:pPr>
              <w:jc w:val="center"/>
              <w:rPr>
                <w:rFonts w:ascii="Arial" w:hAnsi="Arial" w:cs="Arial"/>
                <w:sz w:val="16"/>
                <w:szCs w:val="16"/>
              </w:rPr>
            </w:pPr>
            <w:r>
              <w:rPr>
                <w:rFonts w:ascii="Arial" w:hAnsi="Arial" w:cs="Arial"/>
                <w:sz w:val="16"/>
                <w:szCs w:val="16"/>
              </w:rPr>
              <w:t>7</w:t>
            </w:r>
            <w:r w:rsidR="00AB6E5D">
              <w:rPr>
                <w:rFonts w:ascii="Arial" w:hAnsi="Arial" w:cs="Arial"/>
                <w:sz w:val="16"/>
                <w:szCs w:val="16"/>
              </w:rPr>
              <w:t>3</w:t>
            </w:r>
            <w:r>
              <w:rPr>
                <w:rFonts w:ascii="Arial" w:hAnsi="Arial" w:cs="Arial"/>
                <w:sz w:val="16"/>
                <w:szCs w:val="16"/>
              </w:rPr>
              <w:t>,</w:t>
            </w:r>
            <w:r w:rsidR="00AB6E5D">
              <w:rPr>
                <w:rFonts w:ascii="Arial" w:hAnsi="Arial" w:cs="Arial"/>
                <w:sz w:val="16"/>
                <w:szCs w:val="16"/>
              </w:rPr>
              <w:t>769</w:t>
            </w:r>
          </w:p>
        </w:tc>
        <w:tc>
          <w:tcPr>
            <w:tcW w:w="1368"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FTE</w:t>
            </w:r>
          </w:p>
          <w:p w:rsidR="00A81193" w:rsidRPr="00EA7749" w:rsidRDefault="00AB6E5D" w:rsidP="00EA7749">
            <w:pPr>
              <w:jc w:val="center"/>
              <w:rPr>
                <w:rFonts w:ascii="Arial" w:hAnsi="Arial" w:cs="Arial"/>
                <w:sz w:val="16"/>
                <w:szCs w:val="16"/>
              </w:rPr>
            </w:pPr>
            <w:r>
              <w:rPr>
                <w:rFonts w:ascii="Arial" w:hAnsi="Arial" w:cs="Arial"/>
                <w:sz w:val="16"/>
                <w:szCs w:val="16"/>
              </w:rPr>
              <w:t>(2)</w:t>
            </w:r>
          </w:p>
        </w:tc>
        <w:tc>
          <w:tcPr>
            <w:tcW w:w="1315"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$000</w:t>
            </w:r>
          </w:p>
          <w:p w:rsidR="00A81193" w:rsidRPr="00EA7749" w:rsidRDefault="00AB6E5D" w:rsidP="005664C5">
            <w:pPr>
              <w:jc w:val="center"/>
              <w:rPr>
                <w:rFonts w:ascii="Arial" w:hAnsi="Arial" w:cs="Arial"/>
                <w:sz w:val="16"/>
                <w:szCs w:val="16"/>
              </w:rPr>
            </w:pPr>
            <w:r>
              <w:rPr>
                <w:rFonts w:ascii="Arial" w:hAnsi="Arial" w:cs="Arial"/>
                <w:sz w:val="16"/>
                <w:szCs w:val="16"/>
              </w:rPr>
              <w:t>186</w:t>
            </w:r>
          </w:p>
        </w:tc>
        <w:tc>
          <w:tcPr>
            <w:tcW w:w="1040"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FTE</w:t>
            </w:r>
          </w:p>
          <w:p w:rsidR="00A81193" w:rsidRPr="00EA7749" w:rsidRDefault="00B42393" w:rsidP="00EA7749">
            <w:pPr>
              <w:jc w:val="center"/>
              <w:rPr>
                <w:rFonts w:ascii="Arial" w:hAnsi="Arial" w:cs="Arial"/>
                <w:sz w:val="16"/>
                <w:szCs w:val="16"/>
              </w:rPr>
            </w:pPr>
            <w:r>
              <w:rPr>
                <w:rFonts w:ascii="Arial" w:hAnsi="Arial" w:cs="Arial"/>
                <w:sz w:val="16"/>
                <w:szCs w:val="16"/>
              </w:rPr>
              <w:t>141</w:t>
            </w:r>
          </w:p>
        </w:tc>
        <w:tc>
          <w:tcPr>
            <w:tcW w:w="1040" w:type="dxa"/>
          </w:tcPr>
          <w:p w:rsidR="00A81193" w:rsidRPr="00EA7749" w:rsidRDefault="00A81193" w:rsidP="00EA7749">
            <w:pPr>
              <w:jc w:val="center"/>
              <w:rPr>
                <w:rFonts w:ascii="Arial" w:hAnsi="Arial" w:cs="Arial"/>
                <w:b/>
                <w:sz w:val="16"/>
                <w:szCs w:val="16"/>
              </w:rPr>
            </w:pPr>
            <w:r w:rsidRPr="00EA7749">
              <w:rPr>
                <w:rFonts w:ascii="Arial" w:hAnsi="Arial" w:cs="Arial"/>
                <w:b/>
                <w:sz w:val="16"/>
                <w:szCs w:val="16"/>
              </w:rPr>
              <w:t>$000</w:t>
            </w:r>
          </w:p>
          <w:p w:rsidR="00A81193" w:rsidRPr="00EA7749" w:rsidRDefault="0062050D" w:rsidP="00FD38E6">
            <w:pPr>
              <w:jc w:val="center"/>
              <w:rPr>
                <w:rFonts w:ascii="Arial" w:hAnsi="Arial" w:cs="Arial"/>
                <w:sz w:val="16"/>
                <w:szCs w:val="16"/>
              </w:rPr>
            </w:pPr>
            <w:r>
              <w:rPr>
                <w:rFonts w:ascii="Arial" w:hAnsi="Arial" w:cs="Arial"/>
                <w:sz w:val="16"/>
                <w:szCs w:val="16"/>
              </w:rPr>
              <w:t>7</w:t>
            </w:r>
            <w:r w:rsidR="00AB6E5D">
              <w:rPr>
                <w:rFonts w:ascii="Arial" w:hAnsi="Arial" w:cs="Arial"/>
                <w:sz w:val="16"/>
                <w:szCs w:val="16"/>
              </w:rPr>
              <w:t>3</w:t>
            </w:r>
            <w:r w:rsidR="00B42393">
              <w:rPr>
                <w:rFonts w:ascii="Arial" w:hAnsi="Arial" w:cs="Arial"/>
                <w:sz w:val="16"/>
                <w:szCs w:val="16"/>
              </w:rPr>
              <w:t>,</w:t>
            </w:r>
            <w:r w:rsidR="00AB6E5D">
              <w:rPr>
                <w:rFonts w:ascii="Arial" w:hAnsi="Arial" w:cs="Arial"/>
                <w:sz w:val="16"/>
                <w:szCs w:val="16"/>
              </w:rPr>
              <w:t>955</w:t>
            </w:r>
          </w:p>
        </w:tc>
      </w:tr>
      <w:tr w:rsidR="00A81193" w:rsidTr="00EA7749">
        <w:trPr>
          <w:trHeight w:val="441"/>
        </w:trPr>
        <w:tc>
          <w:tcPr>
            <w:tcW w:w="1348" w:type="dxa"/>
          </w:tcPr>
          <w:p w:rsidR="00A81193" w:rsidRPr="00EA7749" w:rsidRDefault="00A81193" w:rsidP="00C7599F">
            <w:pPr>
              <w:rPr>
                <w:rFonts w:ascii="Arial" w:hAnsi="Arial" w:cs="Arial"/>
                <w:b/>
                <w:sz w:val="16"/>
                <w:szCs w:val="16"/>
              </w:rPr>
            </w:pPr>
            <w:r w:rsidRPr="00EA7749">
              <w:rPr>
                <w:rFonts w:ascii="Arial" w:hAnsi="Arial" w:cs="Arial"/>
                <w:b/>
                <w:sz w:val="16"/>
                <w:szCs w:val="16"/>
              </w:rPr>
              <w:t>Performance Measure</w:t>
            </w:r>
          </w:p>
        </w:tc>
        <w:tc>
          <w:tcPr>
            <w:tcW w:w="2229" w:type="dxa"/>
          </w:tcPr>
          <w:p w:rsidR="00A81193" w:rsidRPr="00EA7749" w:rsidRDefault="00A81193" w:rsidP="00C7599F">
            <w:pPr>
              <w:rPr>
                <w:rFonts w:ascii="Arial" w:hAnsi="Arial" w:cs="Arial"/>
                <w:b/>
                <w:sz w:val="16"/>
                <w:szCs w:val="16"/>
              </w:rPr>
            </w:pPr>
            <w:r w:rsidRPr="00EA7749">
              <w:rPr>
                <w:rFonts w:ascii="Arial" w:hAnsi="Arial" w:cs="Arial"/>
                <w:b/>
                <w:sz w:val="16"/>
                <w:szCs w:val="16"/>
              </w:rPr>
              <w:t xml:space="preserve">2. Total projects completed and closed </w:t>
            </w:r>
          </w:p>
        </w:tc>
        <w:tc>
          <w:tcPr>
            <w:tcW w:w="1838" w:type="dxa"/>
            <w:gridSpan w:val="2"/>
          </w:tcPr>
          <w:p w:rsidR="00A81193" w:rsidRPr="00EA7749" w:rsidRDefault="00691459" w:rsidP="00EA7749">
            <w:pPr>
              <w:jc w:val="center"/>
              <w:rPr>
                <w:rFonts w:ascii="Arial" w:hAnsi="Arial" w:cs="Arial"/>
                <w:sz w:val="16"/>
                <w:szCs w:val="16"/>
              </w:rPr>
            </w:pPr>
            <w:r>
              <w:rPr>
                <w:rFonts w:ascii="Arial" w:hAnsi="Arial" w:cs="Arial"/>
                <w:sz w:val="16"/>
                <w:szCs w:val="16"/>
              </w:rPr>
              <w:t>350</w:t>
            </w:r>
          </w:p>
        </w:tc>
        <w:tc>
          <w:tcPr>
            <w:tcW w:w="1938" w:type="dxa"/>
            <w:gridSpan w:val="2"/>
            <w:tcBorders>
              <w:bottom w:val="single" w:sz="4" w:space="0" w:color="auto"/>
            </w:tcBorders>
            <w:shd w:val="clear" w:color="auto" w:fill="E0E0E0"/>
          </w:tcPr>
          <w:p w:rsidR="00A81193" w:rsidRPr="00EA7749" w:rsidRDefault="00327623" w:rsidP="00C410DD">
            <w:pPr>
              <w:jc w:val="center"/>
              <w:rPr>
                <w:rFonts w:ascii="Arial" w:hAnsi="Arial" w:cs="Arial"/>
                <w:sz w:val="16"/>
                <w:szCs w:val="16"/>
              </w:rPr>
            </w:pPr>
            <w:r>
              <w:rPr>
                <w:rFonts w:ascii="Arial" w:hAnsi="Arial" w:cs="Arial"/>
                <w:sz w:val="16"/>
                <w:szCs w:val="16"/>
              </w:rPr>
              <w:t>441</w:t>
            </w:r>
          </w:p>
        </w:tc>
        <w:tc>
          <w:tcPr>
            <w:tcW w:w="2394" w:type="dxa"/>
            <w:gridSpan w:val="2"/>
          </w:tcPr>
          <w:p w:rsidR="00A81193" w:rsidRPr="00EA7749" w:rsidRDefault="00691459" w:rsidP="00327623">
            <w:pPr>
              <w:jc w:val="center"/>
              <w:rPr>
                <w:rFonts w:ascii="Arial" w:hAnsi="Arial" w:cs="Arial"/>
                <w:sz w:val="16"/>
                <w:szCs w:val="16"/>
              </w:rPr>
            </w:pPr>
            <w:r>
              <w:rPr>
                <w:rFonts w:ascii="Arial" w:hAnsi="Arial" w:cs="Arial"/>
                <w:sz w:val="16"/>
                <w:szCs w:val="16"/>
              </w:rPr>
              <w:t>2</w:t>
            </w:r>
            <w:r w:rsidR="00327623">
              <w:rPr>
                <w:rFonts w:ascii="Arial" w:hAnsi="Arial" w:cs="Arial"/>
                <w:sz w:val="16"/>
                <w:szCs w:val="16"/>
              </w:rPr>
              <w:t>7</w:t>
            </w:r>
            <w:r w:rsidR="004337CC">
              <w:rPr>
                <w:rFonts w:ascii="Arial" w:hAnsi="Arial" w:cs="Arial"/>
                <w:sz w:val="16"/>
                <w:szCs w:val="16"/>
              </w:rPr>
              <w:t>5</w:t>
            </w:r>
          </w:p>
        </w:tc>
        <w:tc>
          <w:tcPr>
            <w:tcW w:w="2683" w:type="dxa"/>
            <w:gridSpan w:val="2"/>
          </w:tcPr>
          <w:p w:rsidR="00A81193" w:rsidRPr="00EA7749" w:rsidRDefault="00327623" w:rsidP="00C410DD">
            <w:pPr>
              <w:jc w:val="center"/>
              <w:rPr>
                <w:rFonts w:ascii="Arial" w:hAnsi="Arial" w:cs="Arial"/>
                <w:sz w:val="16"/>
                <w:szCs w:val="16"/>
              </w:rPr>
            </w:pPr>
            <w:r>
              <w:rPr>
                <w:rFonts w:ascii="Arial" w:hAnsi="Arial" w:cs="Arial"/>
                <w:sz w:val="16"/>
                <w:szCs w:val="16"/>
              </w:rPr>
              <w:t>0</w:t>
            </w:r>
          </w:p>
        </w:tc>
        <w:tc>
          <w:tcPr>
            <w:tcW w:w="2080" w:type="dxa"/>
            <w:gridSpan w:val="2"/>
          </w:tcPr>
          <w:p w:rsidR="00A81193" w:rsidRPr="00EA7749" w:rsidRDefault="004337CC" w:rsidP="00327623">
            <w:pPr>
              <w:jc w:val="center"/>
              <w:rPr>
                <w:rFonts w:ascii="Arial" w:hAnsi="Arial" w:cs="Arial"/>
                <w:sz w:val="16"/>
                <w:szCs w:val="16"/>
              </w:rPr>
            </w:pPr>
            <w:r>
              <w:rPr>
                <w:rFonts w:ascii="Arial" w:hAnsi="Arial" w:cs="Arial"/>
                <w:sz w:val="16"/>
                <w:szCs w:val="16"/>
              </w:rPr>
              <w:t>2</w:t>
            </w:r>
            <w:r w:rsidR="00327623">
              <w:rPr>
                <w:rFonts w:ascii="Arial" w:hAnsi="Arial" w:cs="Arial"/>
                <w:sz w:val="16"/>
                <w:szCs w:val="16"/>
              </w:rPr>
              <w:t>75</w:t>
            </w:r>
          </w:p>
        </w:tc>
      </w:tr>
      <w:tr w:rsidR="00A81193" w:rsidTr="00EA7749">
        <w:trPr>
          <w:trHeight w:val="441"/>
        </w:trPr>
        <w:tc>
          <w:tcPr>
            <w:tcW w:w="1348" w:type="dxa"/>
          </w:tcPr>
          <w:p w:rsidR="00A81193" w:rsidRPr="00EA7749" w:rsidRDefault="00A81193" w:rsidP="00C7599F">
            <w:pPr>
              <w:rPr>
                <w:rFonts w:ascii="Arial" w:hAnsi="Arial" w:cs="Arial"/>
                <w:b/>
                <w:sz w:val="16"/>
                <w:szCs w:val="16"/>
              </w:rPr>
            </w:pPr>
            <w:r w:rsidRPr="00EA7749">
              <w:rPr>
                <w:rFonts w:ascii="Arial" w:hAnsi="Arial" w:cs="Arial"/>
                <w:b/>
                <w:sz w:val="16"/>
                <w:szCs w:val="16"/>
              </w:rPr>
              <w:t>Performance</w:t>
            </w:r>
          </w:p>
          <w:p w:rsidR="00A81193" w:rsidRPr="00EA7749" w:rsidRDefault="00A81193" w:rsidP="00C7599F">
            <w:pPr>
              <w:rPr>
                <w:rFonts w:ascii="Arial" w:hAnsi="Arial" w:cs="Arial"/>
                <w:b/>
                <w:sz w:val="16"/>
                <w:szCs w:val="16"/>
              </w:rPr>
            </w:pPr>
            <w:r w:rsidRPr="00EA7749">
              <w:rPr>
                <w:rFonts w:ascii="Arial" w:hAnsi="Arial" w:cs="Arial"/>
                <w:b/>
                <w:sz w:val="16"/>
                <w:szCs w:val="16"/>
              </w:rPr>
              <w:t>Measure</w:t>
            </w:r>
          </w:p>
        </w:tc>
        <w:tc>
          <w:tcPr>
            <w:tcW w:w="2229" w:type="dxa"/>
          </w:tcPr>
          <w:p w:rsidR="00A81193" w:rsidRPr="00EA7749" w:rsidRDefault="00A81193" w:rsidP="00C7599F">
            <w:pPr>
              <w:rPr>
                <w:rFonts w:ascii="Arial" w:hAnsi="Arial" w:cs="Arial"/>
                <w:b/>
                <w:sz w:val="16"/>
                <w:szCs w:val="16"/>
              </w:rPr>
            </w:pPr>
            <w:r w:rsidRPr="00EA7749">
              <w:rPr>
                <w:rFonts w:ascii="Arial" w:hAnsi="Arial" w:cs="Arial"/>
                <w:b/>
                <w:sz w:val="16"/>
                <w:szCs w:val="16"/>
              </w:rPr>
              <w:t>3. Total projects active at year end</w:t>
            </w:r>
          </w:p>
        </w:tc>
        <w:tc>
          <w:tcPr>
            <w:tcW w:w="1838" w:type="dxa"/>
            <w:gridSpan w:val="2"/>
          </w:tcPr>
          <w:p w:rsidR="00A81193" w:rsidRPr="00EA7749" w:rsidRDefault="00691459" w:rsidP="00EA7749">
            <w:pPr>
              <w:jc w:val="center"/>
              <w:rPr>
                <w:rFonts w:ascii="Arial" w:hAnsi="Arial" w:cs="Arial"/>
                <w:sz w:val="16"/>
                <w:szCs w:val="16"/>
              </w:rPr>
            </w:pPr>
            <w:r>
              <w:rPr>
                <w:rFonts w:ascii="Arial" w:hAnsi="Arial" w:cs="Arial"/>
                <w:sz w:val="16"/>
                <w:szCs w:val="16"/>
              </w:rPr>
              <w:t>568</w:t>
            </w:r>
          </w:p>
        </w:tc>
        <w:tc>
          <w:tcPr>
            <w:tcW w:w="1938" w:type="dxa"/>
            <w:gridSpan w:val="2"/>
            <w:tcBorders>
              <w:bottom w:val="single" w:sz="4" w:space="0" w:color="auto"/>
            </w:tcBorders>
            <w:shd w:val="clear" w:color="auto" w:fill="E0E0E0"/>
          </w:tcPr>
          <w:p w:rsidR="00A81193" w:rsidRPr="00EA7749" w:rsidRDefault="00327623" w:rsidP="00EA7749">
            <w:pPr>
              <w:jc w:val="center"/>
              <w:rPr>
                <w:rFonts w:ascii="Arial" w:hAnsi="Arial" w:cs="Arial"/>
                <w:sz w:val="16"/>
                <w:szCs w:val="16"/>
              </w:rPr>
            </w:pPr>
            <w:r>
              <w:rPr>
                <w:rFonts w:ascii="Arial" w:hAnsi="Arial" w:cs="Arial"/>
                <w:sz w:val="16"/>
                <w:szCs w:val="16"/>
              </w:rPr>
              <w:t>586</w:t>
            </w:r>
          </w:p>
        </w:tc>
        <w:tc>
          <w:tcPr>
            <w:tcW w:w="2394" w:type="dxa"/>
            <w:gridSpan w:val="2"/>
          </w:tcPr>
          <w:p w:rsidR="00A81193" w:rsidRPr="00EA7749" w:rsidRDefault="00691459" w:rsidP="00EA7749">
            <w:pPr>
              <w:jc w:val="center"/>
              <w:rPr>
                <w:rFonts w:ascii="Arial" w:hAnsi="Arial" w:cs="Arial"/>
                <w:sz w:val="16"/>
                <w:szCs w:val="16"/>
              </w:rPr>
            </w:pPr>
            <w:r>
              <w:rPr>
                <w:rFonts w:ascii="Arial" w:hAnsi="Arial" w:cs="Arial"/>
                <w:sz w:val="16"/>
                <w:szCs w:val="16"/>
              </w:rPr>
              <w:t>6</w:t>
            </w:r>
            <w:r w:rsidR="00327623">
              <w:rPr>
                <w:rFonts w:ascii="Arial" w:hAnsi="Arial" w:cs="Arial"/>
                <w:sz w:val="16"/>
                <w:szCs w:val="16"/>
              </w:rPr>
              <w:t>4</w:t>
            </w:r>
            <w:r w:rsidR="004337CC">
              <w:rPr>
                <w:rFonts w:ascii="Arial" w:hAnsi="Arial" w:cs="Arial"/>
                <w:sz w:val="16"/>
                <w:szCs w:val="16"/>
              </w:rPr>
              <w:t>3</w:t>
            </w:r>
          </w:p>
        </w:tc>
        <w:tc>
          <w:tcPr>
            <w:tcW w:w="2683" w:type="dxa"/>
            <w:gridSpan w:val="2"/>
          </w:tcPr>
          <w:p w:rsidR="00A81193" w:rsidRPr="00EA7749" w:rsidRDefault="00327623" w:rsidP="00EA7749">
            <w:pPr>
              <w:jc w:val="center"/>
              <w:rPr>
                <w:rFonts w:ascii="Arial" w:hAnsi="Arial" w:cs="Arial"/>
                <w:sz w:val="16"/>
                <w:szCs w:val="16"/>
              </w:rPr>
            </w:pPr>
            <w:r>
              <w:rPr>
                <w:rFonts w:ascii="Arial" w:hAnsi="Arial" w:cs="Arial"/>
                <w:sz w:val="16"/>
                <w:szCs w:val="16"/>
              </w:rPr>
              <w:t>(28)</w:t>
            </w:r>
          </w:p>
        </w:tc>
        <w:tc>
          <w:tcPr>
            <w:tcW w:w="2080" w:type="dxa"/>
            <w:gridSpan w:val="2"/>
          </w:tcPr>
          <w:p w:rsidR="00A81193" w:rsidRPr="00EA7749" w:rsidRDefault="00327623" w:rsidP="00EA7749">
            <w:pPr>
              <w:jc w:val="center"/>
              <w:rPr>
                <w:rFonts w:ascii="Arial" w:hAnsi="Arial" w:cs="Arial"/>
                <w:sz w:val="16"/>
                <w:szCs w:val="16"/>
              </w:rPr>
            </w:pPr>
            <w:r>
              <w:rPr>
                <w:rFonts w:ascii="Arial" w:hAnsi="Arial" w:cs="Arial"/>
                <w:sz w:val="16"/>
                <w:szCs w:val="16"/>
              </w:rPr>
              <w:t>615</w:t>
            </w:r>
          </w:p>
        </w:tc>
      </w:tr>
      <w:tr w:rsidR="00A81193" w:rsidTr="00EA7749">
        <w:trPr>
          <w:trHeight w:val="441"/>
        </w:trPr>
        <w:tc>
          <w:tcPr>
            <w:tcW w:w="1348" w:type="dxa"/>
          </w:tcPr>
          <w:p w:rsidR="00A81193" w:rsidRPr="00EA7749" w:rsidRDefault="00A81193" w:rsidP="00C7599F">
            <w:pPr>
              <w:rPr>
                <w:rFonts w:ascii="Arial" w:hAnsi="Arial" w:cs="Arial"/>
                <w:b/>
                <w:sz w:val="16"/>
                <w:szCs w:val="16"/>
              </w:rPr>
            </w:pPr>
            <w:r w:rsidRPr="00EA7749">
              <w:rPr>
                <w:rFonts w:ascii="Arial" w:hAnsi="Arial" w:cs="Arial"/>
                <w:b/>
                <w:sz w:val="16"/>
                <w:szCs w:val="16"/>
              </w:rPr>
              <w:t>OUTCOME</w:t>
            </w:r>
          </w:p>
        </w:tc>
        <w:tc>
          <w:tcPr>
            <w:tcW w:w="2229" w:type="dxa"/>
          </w:tcPr>
          <w:p w:rsidR="00A81193" w:rsidRPr="00EA7749" w:rsidRDefault="00A81193" w:rsidP="00C7599F">
            <w:pPr>
              <w:rPr>
                <w:rFonts w:ascii="Arial" w:hAnsi="Arial" w:cs="Arial"/>
                <w:b/>
                <w:sz w:val="16"/>
                <w:szCs w:val="16"/>
              </w:rPr>
            </w:pPr>
            <w:r w:rsidRPr="00EA7749">
              <w:rPr>
                <w:rFonts w:ascii="Arial" w:hAnsi="Arial" w:cs="Arial"/>
                <w:b/>
                <w:sz w:val="16"/>
                <w:szCs w:val="16"/>
              </w:rPr>
              <w:t>4. Court ordered remedial projects</w:t>
            </w:r>
          </w:p>
          <w:p w:rsidR="00A81193" w:rsidRPr="00EA7749" w:rsidRDefault="00A81193" w:rsidP="00C7599F">
            <w:pPr>
              <w:rPr>
                <w:rFonts w:ascii="Arial" w:hAnsi="Arial" w:cs="Arial"/>
                <w:b/>
                <w:sz w:val="16"/>
                <w:szCs w:val="16"/>
              </w:rPr>
            </w:pPr>
            <w:r w:rsidRPr="00EA7749">
              <w:rPr>
                <w:rFonts w:ascii="Arial" w:hAnsi="Arial" w:cs="Arial"/>
                <w:b/>
                <w:sz w:val="16"/>
                <w:szCs w:val="16"/>
              </w:rPr>
              <w:t>5. Dollar value of fines for violations</w:t>
            </w:r>
          </w:p>
        </w:tc>
        <w:tc>
          <w:tcPr>
            <w:tcW w:w="1838" w:type="dxa"/>
            <w:gridSpan w:val="2"/>
          </w:tcPr>
          <w:p w:rsidR="00A81193" w:rsidRPr="00EA7749" w:rsidRDefault="00A81193" w:rsidP="00EA7749">
            <w:pPr>
              <w:jc w:val="center"/>
              <w:rPr>
                <w:rFonts w:ascii="Arial" w:hAnsi="Arial" w:cs="Arial"/>
                <w:sz w:val="16"/>
                <w:szCs w:val="16"/>
              </w:rPr>
            </w:pPr>
            <w:r w:rsidRPr="00EA7749">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0</w:t>
            </w:r>
          </w:p>
        </w:tc>
        <w:tc>
          <w:tcPr>
            <w:tcW w:w="1938" w:type="dxa"/>
            <w:gridSpan w:val="2"/>
            <w:tcBorders>
              <w:bottom w:val="single" w:sz="4" w:space="0" w:color="auto"/>
            </w:tcBorders>
            <w:shd w:val="clear" w:color="auto" w:fill="E0E0E0"/>
          </w:tcPr>
          <w:p w:rsidR="00A81193" w:rsidRPr="00EA7749" w:rsidRDefault="0062050D" w:rsidP="00EA7749">
            <w:pPr>
              <w:jc w:val="center"/>
              <w:rPr>
                <w:rFonts w:ascii="Arial" w:hAnsi="Arial" w:cs="Arial"/>
                <w:sz w:val="16"/>
                <w:szCs w:val="16"/>
              </w:rPr>
            </w:pPr>
            <w:r>
              <w:rPr>
                <w:rFonts w:ascii="Arial" w:hAnsi="Arial" w:cs="Arial"/>
                <w:sz w:val="16"/>
                <w:szCs w:val="16"/>
              </w:rPr>
              <w:t>0</w:t>
            </w:r>
          </w:p>
          <w:p w:rsidR="00A81193" w:rsidRDefault="00A81193" w:rsidP="00EA7749">
            <w:pPr>
              <w:jc w:val="center"/>
              <w:rPr>
                <w:rFonts w:ascii="Arial" w:hAnsi="Arial" w:cs="Arial"/>
                <w:sz w:val="16"/>
                <w:szCs w:val="16"/>
              </w:rPr>
            </w:pPr>
          </w:p>
          <w:p w:rsidR="0062050D" w:rsidRPr="00EA7749" w:rsidRDefault="0062050D" w:rsidP="00EA7749">
            <w:pPr>
              <w:jc w:val="center"/>
              <w:rPr>
                <w:rFonts w:ascii="Arial" w:hAnsi="Arial" w:cs="Arial"/>
                <w:sz w:val="16"/>
                <w:szCs w:val="16"/>
              </w:rPr>
            </w:pPr>
            <w:r>
              <w:rPr>
                <w:rFonts w:ascii="Arial" w:hAnsi="Arial" w:cs="Arial"/>
                <w:sz w:val="16"/>
                <w:szCs w:val="16"/>
              </w:rPr>
              <w:t>0</w:t>
            </w:r>
          </w:p>
        </w:tc>
        <w:tc>
          <w:tcPr>
            <w:tcW w:w="2394" w:type="dxa"/>
            <w:gridSpan w:val="2"/>
          </w:tcPr>
          <w:p w:rsidR="00A81193" w:rsidRPr="00EA7749" w:rsidRDefault="00A81193" w:rsidP="00EA7749">
            <w:pPr>
              <w:jc w:val="center"/>
              <w:rPr>
                <w:rFonts w:ascii="Arial" w:hAnsi="Arial" w:cs="Arial"/>
                <w:sz w:val="16"/>
                <w:szCs w:val="16"/>
              </w:rPr>
            </w:pPr>
            <w:r w:rsidRPr="00EA7749">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0</w:t>
            </w:r>
          </w:p>
        </w:tc>
        <w:tc>
          <w:tcPr>
            <w:tcW w:w="2683" w:type="dxa"/>
            <w:gridSpan w:val="2"/>
          </w:tcPr>
          <w:p w:rsidR="00A81193" w:rsidRPr="00EA7749" w:rsidRDefault="004337CC" w:rsidP="00EA7749">
            <w:pPr>
              <w:jc w:val="center"/>
              <w:rPr>
                <w:rFonts w:ascii="Arial" w:hAnsi="Arial" w:cs="Arial"/>
                <w:sz w:val="16"/>
                <w:szCs w:val="16"/>
              </w:rPr>
            </w:pPr>
            <w:r>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4337CC" w:rsidP="00EA7749">
            <w:pPr>
              <w:jc w:val="center"/>
              <w:rPr>
                <w:rFonts w:ascii="Arial" w:hAnsi="Arial" w:cs="Arial"/>
                <w:sz w:val="16"/>
                <w:szCs w:val="16"/>
              </w:rPr>
            </w:pPr>
            <w:r>
              <w:rPr>
                <w:rFonts w:ascii="Arial" w:hAnsi="Arial" w:cs="Arial"/>
                <w:sz w:val="16"/>
                <w:szCs w:val="16"/>
              </w:rPr>
              <w:t>0</w:t>
            </w:r>
          </w:p>
        </w:tc>
        <w:tc>
          <w:tcPr>
            <w:tcW w:w="2080" w:type="dxa"/>
            <w:gridSpan w:val="2"/>
          </w:tcPr>
          <w:p w:rsidR="00A81193" w:rsidRDefault="004337CC" w:rsidP="00EA7749">
            <w:pPr>
              <w:jc w:val="center"/>
              <w:rPr>
                <w:rFonts w:ascii="Arial" w:hAnsi="Arial" w:cs="Arial"/>
                <w:sz w:val="16"/>
                <w:szCs w:val="16"/>
              </w:rPr>
            </w:pPr>
            <w:r>
              <w:rPr>
                <w:rFonts w:ascii="Arial" w:hAnsi="Arial" w:cs="Arial"/>
                <w:sz w:val="16"/>
                <w:szCs w:val="16"/>
              </w:rPr>
              <w:t>0</w:t>
            </w:r>
          </w:p>
          <w:p w:rsidR="004337CC" w:rsidRDefault="004337CC" w:rsidP="00EA7749">
            <w:pPr>
              <w:jc w:val="center"/>
              <w:rPr>
                <w:rFonts w:ascii="Arial" w:hAnsi="Arial" w:cs="Arial"/>
                <w:sz w:val="16"/>
                <w:szCs w:val="16"/>
              </w:rPr>
            </w:pPr>
          </w:p>
          <w:p w:rsidR="004337CC" w:rsidRPr="00EA7749" w:rsidRDefault="004337CC" w:rsidP="00EA7749">
            <w:pPr>
              <w:jc w:val="center"/>
              <w:rPr>
                <w:rFonts w:ascii="Arial" w:hAnsi="Arial" w:cs="Arial"/>
                <w:sz w:val="16"/>
                <w:szCs w:val="16"/>
              </w:rPr>
            </w:pPr>
            <w:r>
              <w:rPr>
                <w:rFonts w:ascii="Arial" w:hAnsi="Arial" w:cs="Arial"/>
                <w:sz w:val="16"/>
                <w:szCs w:val="16"/>
              </w:rPr>
              <w:t>0</w:t>
            </w:r>
          </w:p>
        </w:tc>
      </w:tr>
      <w:tr w:rsidR="00A81193" w:rsidTr="00EA7749">
        <w:trPr>
          <w:trHeight w:val="441"/>
        </w:trPr>
        <w:tc>
          <w:tcPr>
            <w:tcW w:w="1348" w:type="dxa"/>
          </w:tcPr>
          <w:p w:rsidR="00A81193" w:rsidRPr="00EA7749" w:rsidRDefault="00A81193" w:rsidP="00C7599F">
            <w:pPr>
              <w:rPr>
                <w:rFonts w:ascii="Arial" w:hAnsi="Arial" w:cs="Arial"/>
                <w:b/>
                <w:sz w:val="16"/>
                <w:szCs w:val="16"/>
              </w:rPr>
            </w:pPr>
            <w:r w:rsidRPr="00EA7749">
              <w:rPr>
                <w:rFonts w:ascii="Arial" w:hAnsi="Arial" w:cs="Arial"/>
                <w:b/>
                <w:sz w:val="16"/>
                <w:szCs w:val="16"/>
              </w:rPr>
              <w:t>Performance Measure</w:t>
            </w:r>
          </w:p>
        </w:tc>
        <w:tc>
          <w:tcPr>
            <w:tcW w:w="2229" w:type="dxa"/>
          </w:tcPr>
          <w:p w:rsidR="00A81193" w:rsidRPr="00EA7749" w:rsidRDefault="00A81193" w:rsidP="00C7599F">
            <w:pPr>
              <w:rPr>
                <w:rFonts w:ascii="Arial" w:hAnsi="Arial" w:cs="Arial"/>
                <w:b/>
                <w:sz w:val="16"/>
                <w:szCs w:val="16"/>
              </w:rPr>
            </w:pPr>
            <w:r w:rsidRPr="00EA7749">
              <w:rPr>
                <w:rFonts w:ascii="Arial" w:hAnsi="Arial" w:cs="Arial"/>
                <w:b/>
                <w:sz w:val="16"/>
                <w:szCs w:val="16"/>
              </w:rPr>
              <w:t>6. Number of facilities over 30 years old</w:t>
            </w:r>
          </w:p>
          <w:p w:rsidR="00A81193" w:rsidRPr="00EA7749" w:rsidRDefault="00A81193" w:rsidP="00C7599F">
            <w:pPr>
              <w:rPr>
                <w:rFonts w:ascii="Arial" w:hAnsi="Arial" w:cs="Arial"/>
                <w:b/>
                <w:sz w:val="16"/>
                <w:szCs w:val="16"/>
              </w:rPr>
            </w:pPr>
            <w:r w:rsidRPr="00EA7749">
              <w:rPr>
                <w:rFonts w:ascii="Arial" w:hAnsi="Arial" w:cs="Arial"/>
                <w:b/>
                <w:sz w:val="16"/>
                <w:szCs w:val="16"/>
              </w:rPr>
              <w:t>7. Number of facilities over 50 years old</w:t>
            </w:r>
          </w:p>
          <w:p w:rsidR="00A81193" w:rsidRPr="00EA7749" w:rsidRDefault="00A81193" w:rsidP="00C7599F">
            <w:pPr>
              <w:rPr>
                <w:rFonts w:ascii="Arial" w:hAnsi="Arial" w:cs="Arial"/>
                <w:b/>
                <w:sz w:val="16"/>
                <w:szCs w:val="16"/>
              </w:rPr>
            </w:pPr>
            <w:r w:rsidRPr="00EA7749">
              <w:rPr>
                <w:rFonts w:ascii="Arial" w:hAnsi="Arial" w:cs="Arial"/>
                <w:b/>
                <w:sz w:val="16"/>
                <w:szCs w:val="16"/>
              </w:rPr>
              <w:t>8. Long range master plan for facilities over 50 years old in development</w:t>
            </w:r>
          </w:p>
          <w:p w:rsidR="00A81193" w:rsidRPr="00EA7749" w:rsidRDefault="00A81193" w:rsidP="00C7599F">
            <w:pPr>
              <w:rPr>
                <w:rFonts w:ascii="Arial" w:hAnsi="Arial" w:cs="Arial"/>
                <w:b/>
                <w:sz w:val="16"/>
                <w:szCs w:val="16"/>
              </w:rPr>
            </w:pPr>
            <w:r w:rsidRPr="00EA7749">
              <w:rPr>
                <w:rFonts w:ascii="Arial" w:hAnsi="Arial" w:cs="Arial"/>
                <w:b/>
                <w:sz w:val="16"/>
                <w:szCs w:val="16"/>
              </w:rPr>
              <w:t xml:space="preserve">9. Long range master plan for facilities over 50 years </w:t>
            </w:r>
          </w:p>
          <w:p w:rsidR="00A81193" w:rsidRPr="00EA7749" w:rsidRDefault="00A81193" w:rsidP="00C7599F">
            <w:pPr>
              <w:rPr>
                <w:rFonts w:ascii="Arial" w:hAnsi="Arial" w:cs="Arial"/>
                <w:b/>
                <w:sz w:val="16"/>
                <w:szCs w:val="16"/>
              </w:rPr>
            </w:pPr>
            <w:r w:rsidRPr="00EA7749">
              <w:rPr>
                <w:rFonts w:ascii="Arial" w:hAnsi="Arial" w:cs="Arial"/>
                <w:b/>
                <w:sz w:val="16"/>
                <w:szCs w:val="16"/>
              </w:rPr>
              <w:t xml:space="preserve"> old – total completed</w:t>
            </w:r>
          </w:p>
        </w:tc>
        <w:tc>
          <w:tcPr>
            <w:tcW w:w="1838" w:type="dxa"/>
            <w:gridSpan w:val="2"/>
          </w:tcPr>
          <w:p w:rsidR="00691459" w:rsidRPr="00EA7749" w:rsidRDefault="00691459" w:rsidP="00691459">
            <w:pPr>
              <w:jc w:val="center"/>
              <w:rPr>
                <w:rFonts w:ascii="Arial" w:hAnsi="Arial" w:cs="Arial"/>
                <w:sz w:val="16"/>
                <w:szCs w:val="16"/>
              </w:rPr>
            </w:pPr>
            <w:r w:rsidRPr="00EA7749">
              <w:rPr>
                <w:rFonts w:ascii="Arial" w:hAnsi="Arial" w:cs="Arial"/>
                <w:sz w:val="16"/>
                <w:szCs w:val="16"/>
              </w:rPr>
              <w:t>50</w:t>
            </w:r>
          </w:p>
          <w:p w:rsidR="00A81193" w:rsidRPr="00EA7749" w:rsidRDefault="00A81193" w:rsidP="00EA7749">
            <w:pPr>
              <w:jc w:val="center"/>
              <w:rPr>
                <w:rFonts w:ascii="Arial" w:hAnsi="Arial" w:cs="Arial"/>
                <w:sz w:val="16"/>
                <w:szCs w:val="16"/>
              </w:rPr>
            </w:pPr>
          </w:p>
          <w:p w:rsidR="00A81193" w:rsidRPr="00EA7749" w:rsidRDefault="00A81193" w:rsidP="00BE5BF9">
            <w:pPr>
              <w:rPr>
                <w:rFonts w:ascii="Arial" w:hAnsi="Arial" w:cs="Arial"/>
                <w:sz w:val="16"/>
                <w:szCs w:val="16"/>
              </w:rPr>
            </w:pPr>
          </w:p>
          <w:p w:rsidR="00691459" w:rsidRPr="00EA7749" w:rsidRDefault="00691459" w:rsidP="00691459">
            <w:pPr>
              <w:jc w:val="center"/>
              <w:rPr>
                <w:rFonts w:ascii="Arial" w:hAnsi="Arial" w:cs="Arial"/>
                <w:sz w:val="16"/>
                <w:szCs w:val="16"/>
              </w:rPr>
            </w:pPr>
            <w:r w:rsidRPr="00EA7749">
              <w:rPr>
                <w:rFonts w:ascii="Arial" w:hAnsi="Arial" w:cs="Arial"/>
                <w:sz w:val="16"/>
                <w:szCs w:val="16"/>
              </w:rPr>
              <w:t>33</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25</w:t>
            </w:r>
          </w:p>
        </w:tc>
        <w:tc>
          <w:tcPr>
            <w:tcW w:w="1938" w:type="dxa"/>
            <w:gridSpan w:val="2"/>
            <w:tcBorders>
              <w:bottom w:val="single" w:sz="4" w:space="0" w:color="auto"/>
            </w:tcBorders>
            <w:shd w:val="clear" w:color="auto" w:fill="E0E0E0"/>
          </w:tcPr>
          <w:p w:rsidR="00A81193" w:rsidRPr="00EA7749" w:rsidRDefault="0062050D" w:rsidP="00EA7749">
            <w:pPr>
              <w:jc w:val="center"/>
              <w:rPr>
                <w:rFonts w:ascii="Arial" w:hAnsi="Arial" w:cs="Arial"/>
                <w:sz w:val="16"/>
                <w:szCs w:val="16"/>
              </w:rPr>
            </w:pPr>
            <w:r>
              <w:rPr>
                <w:rFonts w:ascii="Arial" w:hAnsi="Arial" w:cs="Arial"/>
                <w:sz w:val="16"/>
                <w:szCs w:val="16"/>
              </w:rPr>
              <w:t>50</w:t>
            </w:r>
          </w:p>
          <w:p w:rsidR="00A81193" w:rsidRPr="00EA7749" w:rsidRDefault="00A81193" w:rsidP="00EA7749">
            <w:pPr>
              <w:jc w:val="center"/>
              <w:rPr>
                <w:rFonts w:ascii="Arial" w:hAnsi="Arial" w:cs="Arial"/>
                <w:sz w:val="16"/>
                <w:szCs w:val="16"/>
              </w:rPr>
            </w:pPr>
          </w:p>
          <w:p w:rsidR="00A81193" w:rsidRDefault="00A81193" w:rsidP="00EA7749">
            <w:pPr>
              <w:jc w:val="center"/>
              <w:rPr>
                <w:rFonts w:ascii="Arial" w:hAnsi="Arial" w:cs="Arial"/>
                <w:sz w:val="16"/>
                <w:szCs w:val="16"/>
              </w:rPr>
            </w:pPr>
          </w:p>
          <w:p w:rsidR="0062050D" w:rsidRDefault="0062050D" w:rsidP="00EA7749">
            <w:pPr>
              <w:jc w:val="center"/>
              <w:rPr>
                <w:rFonts w:ascii="Arial" w:hAnsi="Arial" w:cs="Arial"/>
                <w:sz w:val="16"/>
                <w:szCs w:val="16"/>
              </w:rPr>
            </w:pPr>
            <w:r>
              <w:rPr>
                <w:rFonts w:ascii="Arial" w:hAnsi="Arial" w:cs="Arial"/>
                <w:sz w:val="16"/>
                <w:szCs w:val="16"/>
              </w:rPr>
              <w:t>33</w:t>
            </w:r>
          </w:p>
          <w:p w:rsidR="0062050D" w:rsidRDefault="0062050D" w:rsidP="00EA7749">
            <w:pPr>
              <w:jc w:val="center"/>
              <w:rPr>
                <w:rFonts w:ascii="Arial" w:hAnsi="Arial" w:cs="Arial"/>
                <w:sz w:val="16"/>
                <w:szCs w:val="16"/>
              </w:rPr>
            </w:pPr>
          </w:p>
          <w:p w:rsidR="0062050D" w:rsidRDefault="0062050D" w:rsidP="00EA7749">
            <w:pPr>
              <w:jc w:val="center"/>
              <w:rPr>
                <w:rFonts w:ascii="Arial" w:hAnsi="Arial" w:cs="Arial"/>
                <w:sz w:val="16"/>
                <w:szCs w:val="16"/>
              </w:rPr>
            </w:pPr>
            <w:r>
              <w:rPr>
                <w:rFonts w:ascii="Arial" w:hAnsi="Arial" w:cs="Arial"/>
                <w:sz w:val="16"/>
                <w:szCs w:val="16"/>
              </w:rPr>
              <w:t>0</w:t>
            </w:r>
          </w:p>
          <w:p w:rsidR="0062050D" w:rsidRDefault="0062050D" w:rsidP="00EA7749">
            <w:pPr>
              <w:jc w:val="center"/>
              <w:rPr>
                <w:rFonts w:ascii="Arial" w:hAnsi="Arial" w:cs="Arial"/>
                <w:sz w:val="16"/>
                <w:szCs w:val="16"/>
              </w:rPr>
            </w:pPr>
          </w:p>
          <w:p w:rsidR="0062050D" w:rsidRPr="00EA7749" w:rsidRDefault="0062050D" w:rsidP="00EA7749">
            <w:pPr>
              <w:jc w:val="center"/>
              <w:rPr>
                <w:rFonts w:ascii="Arial" w:hAnsi="Arial" w:cs="Arial"/>
                <w:sz w:val="16"/>
                <w:szCs w:val="16"/>
              </w:rPr>
            </w:pPr>
            <w:r>
              <w:rPr>
                <w:rFonts w:ascii="Arial" w:hAnsi="Arial" w:cs="Arial"/>
                <w:sz w:val="16"/>
                <w:szCs w:val="16"/>
              </w:rPr>
              <w:t>25</w:t>
            </w:r>
          </w:p>
        </w:tc>
        <w:tc>
          <w:tcPr>
            <w:tcW w:w="2394" w:type="dxa"/>
            <w:gridSpan w:val="2"/>
          </w:tcPr>
          <w:p w:rsidR="00691459" w:rsidRPr="00EA7749" w:rsidRDefault="00691459" w:rsidP="00691459">
            <w:pPr>
              <w:jc w:val="center"/>
              <w:rPr>
                <w:rFonts w:ascii="Arial" w:hAnsi="Arial" w:cs="Arial"/>
                <w:sz w:val="16"/>
                <w:szCs w:val="16"/>
              </w:rPr>
            </w:pPr>
            <w:r w:rsidRPr="00EA7749">
              <w:rPr>
                <w:rFonts w:ascii="Arial" w:hAnsi="Arial" w:cs="Arial"/>
                <w:sz w:val="16"/>
                <w:szCs w:val="16"/>
              </w:rPr>
              <w:t>50</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33</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r w:rsidRPr="00EA7749">
              <w:rPr>
                <w:rFonts w:ascii="Arial" w:hAnsi="Arial" w:cs="Arial"/>
                <w:sz w:val="16"/>
                <w:szCs w:val="16"/>
              </w:rPr>
              <w:t>25</w:t>
            </w:r>
          </w:p>
        </w:tc>
        <w:tc>
          <w:tcPr>
            <w:tcW w:w="2683" w:type="dxa"/>
            <w:gridSpan w:val="2"/>
          </w:tcPr>
          <w:p w:rsidR="00A81193" w:rsidRPr="00EA7749" w:rsidRDefault="004337CC" w:rsidP="00EA7749">
            <w:pPr>
              <w:jc w:val="center"/>
              <w:rPr>
                <w:rFonts w:ascii="Arial" w:hAnsi="Arial" w:cs="Arial"/>
                <w:sz w:val="16"/>
                <w:szCs w:val="16"/>
              </w:rPr>
            </w:pPr>
            <w:r>
              <w:rPr>
                <w:rFonts w:ascii="Arial" w:hAnsi="Arial" w:cs="Arial"/>
                <w:sz w:val="16"/>
                <w:szCs w:val="16"/>
              </w:rPr>
              <w:t>1</w:t>
            </w:r>
          </w:p>
          <w:p w:rsidR="00A81193" w:rsidRPr="00EA7749" w:rsidRDefault="00A81193" w:rsidP="00EA7749">
            <w:pPr>
              <w:jc w:val="center"/>
              <w:rPr>
                <w:rFonts w:ascii="Arial" w:hAnsi="Arial" w:cs="Arial"/>
                <w:sz w:val="16"/>
                <w:szCs w:val="16"/>
              </w:rPr>
            </w:pPr>
          </w:p>
          <w:p w:rsidR="00A81193" w:rsidRPr="00EA7749" w:rsidRDefault="00A81193" w:rsidP="00EA7749">
            <w:pPr>
              <w:jc w:val="center"/>
              <w:rPr>
                <w:rFonts w:ascii="Arial" w:hAnsi="Arial" w:cs="Arial"/>
                <w:sz w:val="16"/>
                <w:szCs w:val="16"/>
              </w:rPr>
            </w:pPr>
          </w:p>
          <w:p w:rsidR="00A81193" w:rsidRPr="00EA7749" w:rsidRDefault="004337CC" w:rsidP="00EA7749">
            <w:pPr>
              <w:jc w:val="center"/>
              <w:rPr>
                <w:rFonts w:ascii="Arial" w:hAnsi="Arial" w:cs="Arial"/>
                <w:sz w:val="16"/>
                <w:szCs w:val="16"/>
              </w:rPr>
            </w:pPr>
            <w:r>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4337CC" w:rsidP="00EA7749">
            <w:pPr>
              <w:jc w:val="center"/>
              <w:rPr>
                <w:rFonts w:ascii="Arial" w:hAnsi="Arial" w:cs="Arial"/>
                <w:sz w:val="16"/>
                <w:szCs w:val="16"/>
              </w:rPr>
            </w:pPr>
            <w:r>
              <w:rPr>
                <w:rFonts w:ascii="Arial" w:hAnsi="Arial" w:cs="Arial"/>
                <w:sz w:val="16"/>
                <w:szCs w:val="16"/>
              </w:rPr>
              <w:t>0</w:t>
            </w:r>
          </w:p>
          <w:p w:rsidR="00A81193" w:rsidRPr="00EA7749" w:rsidRDefault="00A81193" w:rsidP="00EA7749">
            <w:pPr>
              <w:jc w:val="center"/>
              <w:rPr>
                <w:rFonts w:ascii="Arial" w:hAnsi="Arial" w:cs="Arial"/>
                <w:sz w:val="16"/>
                <w:szCs w:val="16"/>
              </w:rPr>
            </w:pPr>
          </w:p>
          <w:p w:rsidR="00A81193" w:rsidRPr="00EA7749" w:rsidRDefault="004337CC" w:rsidP="00EA7749">
            <w:pPr>
              <w:jc w:val="center"/>
              <w:rPr>
                <w:rFonts w:ascii="Arial" w:hAnsi="Arial" w:cs="Arial"/>
                <w:sz w:val="16"/>
                <w:szCs w:val="16"/>
              </w:rPr>
            </w:pPr>
            <w:r>
              <w:rPr>
                <w:rFonts w:ascii="Arial" w:hAnsi="Arial" w:cs="Arial"/>
                <w:sz w:val="16"/>
                <w:szCs w:val="16"/>
              </w:rPr>
              <w:t>0</w:t>
            </w:r>
          </w:p>
        </w:tc>
        <w:tc>
          <w:tcPr>
            <w:tcW w:w="2080" w:type="dxa"/>
            <w:gridSpan w:val="2"/>
          </w:tcPr>
          <w:p w:rsidR="00A81193" w:rsidRDefault="004337CC" w:rsidP="00EA7749">
            <w:pPr>
              <w:jc w:val="center"/>
              <w:rPr>
                <w:rFonts w:ascii="Arial" w:hAnsi="Arial" w:cs="Arial"/>
                <w:sz w:val="16"/>
                <w:szCs w:val="16"/>
              </w:rPr>
            </w:pPr>
            <w:r>
              <w:rPr>
                <w:rFonts w:ascii="Arial" w:hAnsi="Arial" w:cs="Arial"/>
                <w:sz w:val="16"/>
                <w:szCs w:val="16"/>
              </w:rPr>
              <w:t>51</w:t>
            </w:r>
          </w:p>
          <w:p w:rsidR="004337CC" w:rsidRDefault="004337CC" w:rsidP="00EA7749">
            <w:pPr>
              <w:jc w:val="center"/>
              <w:rPr>
                <w:rFonts w:ascii="Arial" w:hAnsi="Arial" w:cs="Arial"/>
                <w:sz w:val="16"/>
                <w:szCs w:val="16"/>
              </w:rPr>
            </w:pPr>
          </w:p>
          <w:p w:rsidR="004337CC" w:rsidRDefault="004337CC" w:rsidP="00EA7749">
            <w:pPr>
              <w:jc w:val="center"/>
              <w:rPr>
                <w:rFonts w:ascii="Arial" w:hAnsi="Arial" w:cs="Arial"/>
                <w:sz w:val="16"/>
                <w:szCs w:val="16"/>
              </w:rPr>
            </w:pPr>
          </w:p>
          <w:p w:rsidR="004337CC" w:rsidRDefault="004337CC" w:rsidP="00EA7749">
            <w:pPr>
              <w:jc w:val="center"/>
              <w:rPr>
                <w:rFonts w:ascii="Arial" w:hAnsi="Arial" w:cs="Arial"/>
                <w:sz w:val="16"/>
                <w:szCs w:val="16"/>
              </w:rPr>
            </w:pPr>
            <w:r>
              <w:rPr>
                <w:rFonts w:ascii="Arial" w:hAnsi="Arial" w:cs="Arial"/>
                <w:sz w:val="16"/>
                <w:szCs w:val="16"/>
              </w:rPr>
              <w:t>33</w:t>
            </w:r>
          </w:p>
          <w:p w:rsidR="004337CC" w:rsidRDefault="004337CC" w:rsidP="00EA7749">
            <w:pPr>
              <w:jc w:val="center"/>
              <w:rPr>
                <w:rFonts w:ascii="Arial" w:hAnsi="Arial" w:cs="Arial"/>
                <w:sz w:val="16"/>
                <w:szCs w:val="16"/>
              </w:rPr>
            </w:pPr>
          </w:p>
          <w:p w:rsidR="004337CC" w:rsidRDefault="004337CC" w:rsidP="00EA7749">
            <w:pPr>
              <w:jc w:val="center"/>
              <w:rPr>
                <w:rFonts w:ascii="Arial" w:hAnsi="Arial" w:cs="Arial"/>
                <w:sz w:val="16"/>
                <w:szCs w:val="16"/>
              </w:rPr>
            </w:pPr>
            <w:r>
              <w:rPr>
                <w:rFonts w:ascii="Arial" w:hAnsi="Arial" w:cs="Arial"/>
                <w:sz w:val="16"/>
                <w:szCs w:val="16"/>
              </w:rPr>
              <w:t>0</w:t>
            </w:r>
          </w:p>
          <w:p w:rsidR="004337CC" w:rsidRDefault="004337CC" w:rsidP="00EA7749">
            <w:pPr>
              <w:jc w:val="center"/>
              <w:rPr>
                <w:rFonts w:ascii="Arial" w:hAnsi="Arial" w:cs="Arial"/>
                <w:sz w:val="16"/>
                <w:szCs w:val="16"/>
              </w:rPr>
            </w:pPr>
          </w:p>
          <w:p w:rsidR="004337CC" w:rsidRPr="00EA7749" w:rsidRDefault="004337CC" w:rsidP="00EA7749">
            <w:pPr>
              <w:jc w:val="center"/>
              <w:rPr>
                <w:rFonts w:ascii="Arial" w:hAnsi="Arial" w:cs="Arial"/>
                <w:sz w:val="16"/>
                <w:szCs w:val="16"/>
              </w:rPr>
            </w:pPr>
            <w:r>
              <w:rPr>
                <w:rFonts w:ascii="Arial" w:hAnsi="Arial" w:cs="Arial"/>
                <w:sz w:val="16"/>
                <w:szCs w:val="16"/>
              </w:rPr>
              <w:t>25</w:t>
            </w:r>
          </w:p>
        </w:tc>
      </w:tr>
      <w:tr w:rsidR="00A81193" w:rsidTr="00EA7749">
        <w:trPr>
          <w:trHeight w:val="441"/>
        </w:trPr>
        <w:tc>
          <w:tcPr>
            <w:tcW w:w="14510" w:type="dxa"/>
            <w:gridSpan w:val="12"/>
          </w:tcPr>
          <w:p w:rsidR="00AC15BB" w:rsidRDefault="00AC15BB" w:rsidP="00C7599F">
            <w:pPr>
              <w:rPr>
                <w:b/>
                <w:bCs/>
                <w:sz w:val="16"/>
                <w:szCs w:val="16"/>
              </w:rPr>
            </w:pPr>
          </w:p>
          <w:p w:rsidR="00A81193" w:rsidRPr="00EA7749" w:rsidRDefault="00A81193" w:rsidP="00C7599F">
            <w:pPr>
              <w:rPr>
                <w:sz w:val="16"/>
                <w:szCs w:val="16"/>
              </w:rPr>
            </w:pPr>
            <w:r w:rsidRPr="00EA7749">
              <w:rPr>
                <w:b/>
                <w:bCs/>
                <w:sz w:val="16"/>
                <w:szCs w:val="16"/>
              </w:rPr>
              <w:t>Data Definition</w:t>
            </w:r>
            <w:r w:rsidRPr="00EA7749">
              <w:rPr>
                <w:sz w:val="16"/>
                <w:szCs w:val="16"/>
              </w:rPr>
              <w:t xml:space="preserve">:.  </w:t>
            </w:r>
            <w:r w:rsidR="00B312CD" w:rsidRPr="002660E4">
              <w:rPr>
                <w:sz w:val="16"/>
                <w:szCs w:val="16"/>
              </w:rPr>
              <w:t xml:space="preserve">The crowding levels are based on a mathematical ratio of the number of inmates divided by the rated capacity of the institutions at each of the specific security levels.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w:t>
            </w:r>
            <w:r w:rsidR="00B312CD" w:rsidRPr="002660E4">
              <w:rPr>
                <w:sz w:val="16"/>
                <w:szCs w:val="16"/>
              </w:rPr>
              <w:lastRenderedPageBreak/>
              <w:t xml:space="preserve">administrative maximum, detention, medical, holdover, and other special housing unit categories. </w:t>
            </w:r>
            <w:r w:rsidR="00B312CD">
              <w:rPr>
                <w:sz w:val="16"/>
                <w:szCs w:val="16"/>
              </w:rPr>
              <w:t xml:space="preserve">  </w:t>
            </w:r>
            <w:r w:rsidR="00B312CD" w:rsidRPr="002660E4">
              <w:rPr>
                <w:sz w:val="16"/>
                <w:szCs w:val="16"/>
              </w:rPr>
              <w:t xml:space="preserve">Medium security facilities: strengthened perimeters, mostly cell-type housing, work and treatment programs and a </w:t>
            </w:r>
            <w:r w:rsidR="00096BC4">
              <w:rPr>
                <w:sz w:val="16"/>
                <w:szCs w:val="16"/>
              </w:rPr>
              <w:t>low</w:t>
            </w:r>
            <w:r w:rsidR="00B312CD" w:rsidRPr="002660E4">
              <w:rPr>
                <w:sz w:val="16"/>
                <w:szCs w:val="16"/>
              </w:rPr>
              <w:t xml:space="preserve">er inmate-to-staff ratio than low security facilities.  High security facilities: also known as U.S. Penitentiaries, highly secure perimeters, multiple and single cell housing, </w:t>
            </w:r>
            <w:r w:rsidR="00096BC4">
              <w:rPr>
                <w:sz w:val="16"/>
                <w:szCs w:val="16"/>
              </w:rPr>
              <w:t>low</w:t>
            </w:r>
            <w:r w:rsidR="00B312CD" w:rsidRPr="002660E4">
              <w:rPr>
                <w:sz w:val="16"/>
                <w:szCs w:val="16"/>
              </w:rPr>
              <w:t>est inmate-to-staff ratio, close control of inmate movement.</w:t>
            </w:r>
            <w:r w:rsidR="00B312CD">
              <w:rPr>
                <w:sz w:val="16"/>
                <w:szCs w:val="16"/>
              </w:rPr>
              <w:t xml:space="preserve">  </w:t>
            </w:r>
            <w:r w:rsidRPr="00EA7749">
              <w:rPr>
                <w:sz w:val="16"/>
                <w:szCs w:val="16"/>
              </w:rPr>
              <w:t xml:space="preserve">The three-year time limit policy for M&amp;R projects means that institutions are allowed three years to complete scheduled projects or the project is canceled and the funds are committed to other high priority M&amp;R projects.  To ensure that electronic equipment utilized for life safety sustains trouble-free operation, the BOP schedules life cycle equipment replacement based on a ten-year cycle.  The critical equipment is radio systems and PBX (Public Branch Exchange) systems.  </w:t>
            </w:r>
            <w:smartTag w:uri="urn:schemas-microsoft-com:office:smarttags" w:element="place">
              <w:r w:rsidRPr="00EA7749">
                <w:rPr>
                  <w:sz w:val="16"/>
                  <w:szCs w:val="16"/>
                </w:rPr>
                <w:t>Mission</w:t>
              </w:r>
            </w:smartTag>
            <w:r w:rsidRPr="00EA7749">
              <w:rPr>
                <w:sz w:val="16"/>
                <w:szCs w:val="16"/>
              </w:rPr>
              <w:t xml:space="preserve"> critical facilities are all existing BOP institutions.</w:t>
            </w:r>
          </w:p>
          <w:p w:rsidR="00A81193" w:rsidRPr="00EA7749" w:rsidRDefault="00A81193" w:rsidP="00C7599F">
            <w:pPr>
              <w:rPr>
                <w:b/>
                <w:bCs/>
                <w:sz w:val="16"/>
                <w:szCs w:val="16"/>
              </w:rPr>
            </w:pPr>
          </w:p>
          <w:p w:rsidR="00A81193" w:rsidRPr="00EA7749" w:rsidRDefault="00A81193" w:rsidP="00C7599F">
            <w:pPr>
              <w:rPr>
                <w:sz w:val="16"/>
                <w:szCs w:val="16"/>
              </w:rPr>
            </w:pPr>
            <w:r w:rsidRPr="00EA7749">
              <w:rPr>
                <w:b/>
                <w:bCs/>
                <w:sz w:val="16"/>
                <w:szCs w:val="16"/>
              </w:rPr>
              <w:t>Data Collection and Storage</w:t>
            </w:r>
            <w:r w:rsidRPr="00EA7749">
              <w:rPr>
                <w:sz w:val="16"/>
                <w:szCs w:val="16"/>
              </w:rPr>
              <w:t>: Data are gathered from several computer systems.   Each project is assigned a specific project code.   Each obligation and expenditure is entered into FMIS</w:t>
            </w:r>
            <w:r>
              <w:t xml:space="preserve"> </w:t>
            </w:r>
            <w:r w:rsidRPr="00EA7749">
              <w:rPr>
                <w:sz w:val="16"/>
                <w:szCs w:val="16"/>
              </w:rPr>
              <w:t xml:space="preserve">by the specific project code.  Modernization and Repair (M&amp;R) projects are closely monitored to ensure completion and closure prior to the 3-year </w:t>
            </w:r>
            <w:r w:rsidR="005C61BE" w:rsidRPr="00EA7749">
              <w:rPr>
                <w:sz w:val="16"/>
                <w:szCs w:val="16"/>
              </w:rPr>
              <w:t>time limit</w:t>
            </w:r>
            <w:r w:rsidRPr="00EA7749">
              <w:rPr>
                <w:sz w:val="16"/>
                <w:szCs w:val="16"/>
              </w:rPr>
              <w:t xml:space="preserve">.  At the start of every fiscal year, the BOP’s Central Office identifies the M&amp;R projects that will reach the 3-year </w:t>
            </w:r>
            <w:r w:rsidR="005C61BE" w:rsidRPr="00EA7749">
              <w:rPr>
                <w:sz w:val="16"/>
                <w:szCs w:val="16"/>
              </w:rPr>
              <w:t>time limit</w:t>
            </w:r>
            <w:r w:rsidRPr="00EA7749">
              <w:rPr>
                <w:sz w:val="16"/>
                <w:szCs w:val="16"/>
              </w:rPr>
              <w:t xml:space="preserve"> by the end of that fiscal year.  The BOP relies on an in-</w:t>
            </w:r>
            <w:r w:rsidRPr="00EA7749">
              <w:rPr>
                <w:bCs/>
                <w:sz w:val="16"/>
                <w:szCs w:val="16"/>
              </w:rPr>
              <w:t xml:space="preserve">house </w:t>
            </w:r>
            <w:r w:rsidRPr="00EA7749">
              <w:rPr>
                <w:sz w:val="16"/>
                <w:szCs w:val="16"/>
              </w:rPr>
              <w:t>house data base in Microsoft Access and DOJ’s FMIS to effectively track and manage M&amp;R projects (dates and costs).  The BOP uses the Total Maintenance System (TMS) program to determine nationally which radio, PBX System and equipment qualify for replacement annually, based on age and performance.</w:t>
            </w:r>
          </w:p>
          <w:p w:rsidR="00A81193" w:rsidRPr="00EA7749" w:rsidRDefault="00A81193" w:rsidP="00C7599F">
            <w:pPr>
              <w:rPr>
                <w:sz w:val="16"/>
                <w:szCs w:val="16"/>
              </w:rPr>
            </w:pPr>
          </w:p>
          <w:p w:rsidR="00A81193" w:rsidRPr="00EA7749" w:rsidRDefault="00A81193" w:rsidP="00C7599F">
            <w:pPr>
              <w:rPr>
                <w:sz w:val="16"/>
                <w:szCs w:val="16"/>
              </w:rPr>
            </w:pPr>
            <w:r w:rsidRPr="00EA7749">
              <w:rPr>
                <w:b/>
                <w:bCs/>
                <w:sz w:val="16"/>
                <w:szCs w:val="16"/>
              </w:rPr>
              <w:t>Data Validation and Verification</w:t>
            </w:r>
            <w:r w:rsidRPr="00EA7749">
              <w:rPr>
                <w:sz w:val="16"/>
                <w:szCs w:val="16"/>
              </w:rPr>
              <w:t>: Within BOP headquarters, staff  retrieve and verify data on a daily basis, analyze it, and formulate reports and projections.  Subject matter experts review and analyze population and capacity levels daily, both overall and by security level.    Purchase requests are approved by specific project management staff (based on dollar threshold limitations); commitments are entered into a computer based fund control system; and purchase requests are forwarded for procurement action.  Once the procurement office awards a contract/purchase order, the obligation is entered into the DOJ FMIS.  Each month, FMIS obligations are reconciled with the BOP’s fund control register by project, and forwarded to the Central Office Finance Branch, Business Office, to ensure accuracy and compliance.  M&amp;R data is maintained in the Microsoft Access database and is verified periodically against FMIS which also tracks the financial status of projects.  On an annual basis, the BOP’s Central Office Facilities Branch documents which electronic equipment, utilized for life safety, will be at the end of the ten year life cycle.  This is accomplished through review and evaluation of the systems by field staff, the contractor, and close monitoring of the TMS program.  Each institution enters their data into the TMS program and the information on the critical equipment is reviewed and verified by their respective Regional Office for accurate dates and equipment condition.  .</w:t>
            </w:r>
          </w:p>
          <w:p w:rsidR="00A81193" w:rsidRPr="00EA7749" w:rsidRDefault="00A81193" w:rsidP="00C7599F">
            <w:pPr>
              <w:rPr>
                <w:sz w:val="16"/>
                <w:szCs w:val="16"/>
              </w:rPr>
            </w:pPr>
          </w:p>
          <w:p w:rsidR="00A81193" w:rsidRPr="00EA7749" w:rsidRDefault="00A81193" w:rsidP="00C7599F">
            <w:pPr>
              <w:rPr>
                <w:sz w:val="16"/>
                <w:szCs w:val="16"/>
              </w:rPr>
            </w:pPr>
            <w:r w:rsidRPr="00EA7749">
              <w:rPr>
                <w:b/>
                <w:bCs/>
                <w:sz w:val="16"/>
                <w:szCs w:val="16"/>
              </w:rPr>
              <w:t>Data Limitations</w:t>
            </w:r>
            <w:r w:rsidRPr="00EA7749">
              <w:rPr>
                <w:sz w:val="16"/>
                <w:szCs w:val="16"/>
              </w:rPr>
              <w:t>: Due to the unpredictable environment in prisons and other external factors, there may be discrepancies between projected and actual numbers contained in the performance tables.  Most plans are</w:t>
            </w:r>
            <w:r w:rsidR="005C61BE" w:rsidRPr="00EA7749">
              <w:rPr>
                <w:sz w:val="16"/>
                <w:szCs w:val="16"/>
              </w:rPr>
              <w:t xml:space="preserve"> all required equipment replacements based on the ten-year life cycle</w:t>
            </w:r>
            <w:r w:rsidRPr="00EA7749">
              <w:rPr>
                <w:sz w:val="16"/>
                <w:szCs w:val="16"/>
              </w:rPr>
              <w:t xml:space="preserve"> developed based on historical data, and past experience to project for the future.  In addition, budget delays and shortfalls also affect performance results.  For example, due to budget shortfalls in the past</w:t>
            </w:r>
            <w:r w:rsidR="005C61BE" w:rsidRPr="00EA7749">
              <w:rPr>
                <w:sz w:val="16"/>
                <w:szCs w:val="16"/>
              </w:rPr>
              <w:t xml:space="preserve"> in</w:t>
            </w:r>
            <w:r w:rsidRPr="00EA7749">
              <w:rPr>
                <w:sz w:val="16"/>
                <w:szCs w:val="16"/>
              </w:rPr>
              <w:t xml:space="preserve"> the M&amp;R program could not </w:t>
            </w:r>
            <w:r w:rsidR="005C61BE" w:rsidRPr="00EA7749">
              <w:rPr>
                <w:sz w:val="16"/>
                <w:szCs w:val="16"/>
              </w:rPr>
              <w:t xml:space="preserve">be </w:t>
            </w:r>
            <w:r w:rsidRPr="00EA7749">
              <w:rPr>
                <w:sz w:val="16"/>
                <w:szCs w:val="16"/>
              </w:rPr>
              <w:t>complete</w:t>
            </w:r>
            <w:r w:rsidR="005C61BE" w:rsidRPr="00EA7749">
              <w:rPr>
                <w:sz w:val="16"/>
                <w:szCs w:val="16"/>
              </w:rPr>
              <w:t>d</w:t>
            </w:r>
            <w:r w:rsidRPr="00EA7749">
              <w:rPr>
                <w:sz w:val="16"/>
                <w:szCs w:val="16"/>
              </w:rPr>
              <w:t xml:space="preserve"> due to limited funds, and some replacements had to be delayed to the following year.  </w:t>
            </w:r>
          </w:p>
          <w:p w:rsidR="00A81193" w:rsidRPr="00EA7749" w:rsidRDefault="00A81193" w:rsidP="00EA7749">
            <w:pPr>
              <w:outlineLvl w:val="0"/>
              <w:rPr>
                <w:sz w:val="16"/>
                <w:szCs w:val="16"/>
              </w:rPr>
            </w:pPr>
          </w:p>
          <w:p w:rsidR="00A81193" w:rsidRPr="00EA7749" w:rsidRDefault="00A81193" w:rsidP="00C7599F">
            <w:pPr>
              <w:rPr>
                <w:rFonts w:ascii="Arial" w:hAnsi="Arial" w:cs="Arial"/>
                <w:sz w:val="16"/>
                <w:szCs w:val="16"/>
              </w:rPr>
            </w:pPr>
          </w:p>
        </w:tc>
      </w:tr>
    </w:tbl>
    <w:p w:rsidR="00C7599F" w:rsidRDefault="00C7599F"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2A019E" w:rsidRDefault="002A019E" w:rsidP="00C7599F"/>
    <w:p w:rsidR="006B5D42" w:rsidRDefault="00327623" w:rsidP="002A019E">
      <w:pPr>
        <w:sectPr w:rsidR="006B5D42" w:rsidSect="00DF162C">
          <w:pgSz w:w="15840" w:h="12240" w:orient="landscape" w:code="1"/>
          <w:pgMar w:top="1800" w:right="1440" w:bottom="1800" w:left="1440" w:header="720" w:footer="720" w:gutter="0"/>
          <w:cols w:space="720"/>
          <w:docGrid w:linePitch="360"/>
        </w:sectPr>
      </w:pPr>
      <w:r w:rsidRPr="00E73CE1">
        <w:object w:dxaOrig="14149" w:dyaOrig="6004">
          <v:shape id="_x0000_i1026" type="#_x0000_t75" style="width:693pt;height:271.5pt" o:ole="" o:bordertopcolor="this" o:borderleftcolor="this" o:borderbottomcolor="this" o:borderrightcolor="this">
            <v:imagedata r:id="rId17" o:title=""/>
            <w10:bordertop type="single" width="18"/>
            <w10:borderleft type="single" width="18"/>
            <w10:borderbottom type="single" width="18"/>
            <w10:borderright type="single" width="18"/>
          </v:shape>
          <o:OLEObject Type="Embed" ProgID="Excel.Sheet.8" ShapeID="_x0000_i1026" DrawAspect="Content" ObjectID="_1358772606" r:id="rId18"/>
        </w:object>
      </w:r>
    </w:p>
    <w:p w:rsidR="007E2883" w:rsidRDefault="00293C66" w:rsidP="007E2883">
      <w:pPr>
        <w:widowControl w:val="0"/>
      </w:pPr>
      <w:r>
        <w:rPr>
          <w:b/>
        </w:rPr>
        <w:lastRenderedPageBreak/>
        <w:t>3.  Per</w:t>
      </w:r>
      <w:r w:rsidR="007E2883">
        <w:rPr>
          <w:b/>
        </w:rPr>
        <w:t>formance, Resources, and Strategies</w:t>
      </w:r>
    </w:p>
    <w:p w:rsidR="007E2883" w:rsidRDefault="007E2883" w:rsidP="007E2883">
      <w:pPr>
        <w:widowControl w:val="0"/>
      </w:pPr>
      <w:r>
        <w:t>The Modernization and Repair (M&amp;R) decision unit contributes directly to the Department’s Strategic Goal 3: Ensure the Fair and Efficient Administration of Justice.</w:t>
      </w:r>
    </w:p>
    <w:p w:rsidR="007E2883" w:rsidRDefault="007E2883" w:rsidP="007E2883">
      <w:pPr>
        <w:widowControl w:val="0"/>
        <w:rPr>
          <w:b/>
        </w:rPr>
      </w:pPr>
    </w:p>
    <w:p w:rsidR="007E2883" w:rsidRDefault="007E2883" w:rsidP="007E2883">
      <w:pPr>
        <w:widowControl w:val="0"/>
      </w:pPr>
      <w:r>
        <w:rPr>
          <w:b/>
        </w:rPr>
        <w:t>a. Performance Plan and Report for Outcomes</w:t>
      </w:r>
    </w:p>
    <w:p w:rsidR="007E2883" w:rsidRDefault="007E2883" w:rsidP="007E2883">
      <w:pPr>
        <w:widowControl w:val="0"/>
      </w:pPr>
      <w:r>
        <w:t xml:space="preserve">As illustrated in the preceding Performance and Resources Table, the outcome measures for this decision unit </w:t>
      </w:r>
      <w:r w:rsidR="00F95C1A">
        <w:t>include</w:t>
      </w:r>
      <w:r>
        <w:t xml:space="preserve">: Court ordered remedial projects and Dollar value of fines for violations.  </w:t>
      </w:r>
    </w:p>
    <w:p w:rsidR="000D2700" w:rsidRDefault="000D2700" w:rsidP="007E2883">
      <w:pPr>
        <w:widowControl w:val="0"/>
      </w:pPr>
    </w:p>
    <w:p w:rsidR="000D2700" w:rsidRDefault="00327623" w:rsidP="007E2883">
      <w:pPr>
        <w:widowControl w:val="0"/>
      </w:pPr>
      <w:r>
        <w:t xml:space="preserve">In FY 2010, the BOP completed and closed 441 </w:t>
      </w:r>
      <w:r w:rsidR="000D2700">
        <w:t xml:space="preserve">M&amp;R projects, leaving </w:t>
      </w:r>
      <w:r>
        <w:t>586</w:t>
      </w:r>
      <w:r w:rsidR="000D2700">
        <w:t xml:space="preserve"> active at year end.</w:t>
      </w:r>
      <w:r w:rsidR="00F31B99">
        <w:t xml:space="preserve">  </w:t>
      </w:r>
      <w:r w:rsidR="000D2700">
        <w:t xml:space="preserve">In FY 2011, BOP anticipates completing and closing </w:t>
      </w:r>
      <w:r w:rsidR="00C410DD">
        <w:t>2</w:t>
      </w:r>
      <w:r>
        <w:t>7</w:t>
      </w:r>
      <w:r w:rsidR="00C410DD">
        <w:t>5</w:t>
      </w:r>
      <w:r w:rsidR="000D2700">
        <w:t xml:space="preserve"> M&amp;R projects, leaving </w:t>
      </w:r>
      <w:r w:rsidR="00C410DD">
        <w:t>6</w:t>
      </w:r>
      <w:r>
        <w:t>4</w:t>
      </w:r>
      <w:r w:rsidR="00C410DD">
        <w:t>3</w:t>
      </w:r>
      <w:r w:rsidR="000D2700">
        <w:t xml:space="preserve"> active at year end.</w:t>
      </w:r>
      <w:r w:rsidR="00125968">
        <w:t xml:space="preserve">  For FY 2012, B</w:t>
      </w:r>
      <w:bookmarkStart w:id="2" w:name="_GoBack"/>
      <w:bookmarkEnd w:id="2"/>
      <w:r w:rsidR="00125968">
        <w:t>OP anticipates</w:t>
      </w:r>
      <w:r w:rsidR="000F74ED">
        <w:t xml:space="preserve"> completing and closing</w:t>
      </w:r>
      <w:r w:rsidR="00125968">
        <w:t xml:space="preserve"> 2</w:t>
      </w:r>
      <w:r w:rsidR="000F74ED">
        <w:t>75</w:t>
      </w:r>
      <w:r w:rsidR="00125968">
        <w:t xml:space="preserve"> M&amp;R projects, leaving </w:t>
      </w:r>
      <w:r w:rsidR="000F74ED">
        <w:t>615</w:t>
      </w:r>
      <w:r w:rsidR="00125968">
        <w:t xml:space="preserve"> active </w:t>
      </w:r>
      <w:r w:rsidR="00882A00">
        <w:t xml:space="preserve">at year end.  </w:t>
      </w:r>
      <w:r w:rsidR="000D2700">
        <w:t>Institutions perform detailed annual i</w:t>
      </w:r>
      <w:r w:rsidR="0083146F">
        <w:t>nspections of all areas of the</w:t>
      </w:r>
      <w:r w:rsidR="005D474E">
        <w:t>ir</w:t>
      </w:r>
      <w:r w:rsidR="000D2700">
        <w:t xml:space="preserve"> physical plants and provide a list of projects to their regional office for all items which are in need of remedial action, and they are placed on a priority list for fund</w:t>
      </w:r>
      <w:r w:rsidR="000A1F11">
        <w:t xml:space="preserve">ing.  </w:t>
      </w:r>
    </w:p>
    <w:p w:rsidR="00B41A7A" w:rsidRDefault="00B41A7A" w:rsidP="007E2883">
      <w:pPr>
        <w:widowControl w:val="0"/>
      </w:pPr>
    </w:p>
    <w:p w:rsidR="007E2883" w:rsidRDefault="007E2883" w:rsidP="007E2883">
      <w:pPr>
        <w:widowControl w:val="0"/>
      </w:pPr>
      <w:r>
        <w:t xml:space="preserve">The BOP projects that there will continue to be no court ordered remedial projects or dollar value of fines for violations </w:t>
      </w:r>
      <w:r w:rsidR="009013C2">
        <w:t>for</w:t>
      </w:r>
      <w:r>
        <w:t xml:space="preserve"> FY 20</w:t>
      </w:r>
      <w:r w:rsidR="0074649C">
        <w:t>11</w:t>
      </w:r>
      <w:r>
        <w:t xml:space="preserve"> </w:t>
      </w:r>
      <w:r w:rsidR="0074649C">
        <w:t>and</w:t>
      </w:r>
      <w:r>
        <w:t xml:space="preserve"> FY 20</w:t>
      </w:r>
      <w:r w:rsidR="00322EA7">
        <w:t>1</w:t>
      </w:r>
      <w:r w:rsidR="00882A00">
        <w:t>2</w:t>
      </w:r>
      <w:r>
        <w:t>.  The BOP follows a plan to assure that existing facilities meet established standards.</w:t>
      </w:r>
    </w:p>
    <w:p w:rsidR="00A75728" w:rsidRDefault="00A75728" w:rsidP="007E2883">
      <w:pPr>
        <w:widowControl w:val="0"/>
      </w:pPr>
    </w:p>
    <w:p w:rsidR="007E2883" w:rsidRDefault="007E2883" w:rsidP="007E2883">
      <w:pPr>
        <w:widowControl w:val="0"/>
        <w:rPr>
          <w:b/>
        </w:rPr>
      </w:pPr>
      <w:r>
        <w:rPr>
          <w:b/>
        </w:rPr>
        <w:t>b. Strategies to Accomplish Outcomes</w:t>
      </w:r>
    </w:p>
    <w:p w:rsidR="007E2883" w:rsidRDefault="009A7142" w:rsidP="007E2883">
      <w:pPr>
        <w:widowControl w:val="0"/>
      </w:pPr>
      <w:r>
        <w:t xml:space="preserve">The M&amp;R program has demonstrated substantial improvements through the implementation of the Long Range Planning method with its associated facility surveys, the project time limit policy, and the </w:t>
      </w:r>
      <w:r w:rsidR="009013C2">
        <w:t xml:space="preserve">Federal Facilities Council (FCC) recommended minimum </w:t>
      </w:r>
      <w:r>
        <w:t xml:space="preserve">2 percent replacement value method of requesting funding.  </w:t>
      </w:r>
      <w:r w:rsidR="00FD38E6">
        <w:t>However, funding constraints have not allowed any additional Long Range Planning surveys to be conducted.</w:t>
      </w:r>
    </w:p>
    <w:p w:rsidR="007E2883" w:rsidRDefault="007E2883" w:rsidP="007E2883">
      <w:pPr>
        <w:widowControl w:val="0"/>
      </w:pPr>
    </w:p>
    <w:p w:rsidR="00B1449C" w:rsidRDefault="00B1449C" w:rsidP="00B1449C">
      <w:pPr>
        <w:widowControl w:val="0"/>
      </w:pPr>
      <w:r>
        <w:t xml:space="preserve">BOP continues to contract out for </w:t>
      </w:r>
      <w:r w:rsidR="009013C2">
        <w:t xml:space="preserve">male </w:t>
      </w:r>
      <w:r>
        <w:t xml:space="preserve">special population low and minimum security inmates.  </w:t>
      </w:r>
      <w:r w:rsidR="000A1F11">
        <w:t xml:space="preserve">A total of </w:t>
      </w:r>
      <w:r>
        <w:t>3</w:t>
      </w:r>
      <w:r w:rsidR="0074649C">
        <w:t>7</w:t>
      </w:r>
      <w:r w:rsidR="007D06A8">
        <w:t>,</w:t>
      </w:r>
      <w:r w:rsidR="0074649C">
        <w:t>839</w:t>
      </w:r>
      <w:r>
        <w:t xml:space="preserve"> inmates (</w:t>
      </w:r>
      <w:r w:rsidR="008F44E4">
        <w:t>about 18</w:t>
      </w:r>
      <w:r>
        <w:t xml:space="preserve"> percent) were housed in contract confinement</w:t>
      </w:r>
      <w:r w:rsidR="000A1F11">
        <w:t xml:space="preserve"> as of </w:t>
      </w:r>
      <w:r w:rsidR="0074649C">
        <w:t>January 13</w:t>
      </w:r>
      <w:r w:rsidR="000A1F11">
        <w:t>, 201</w:t>
      </w:r>
      <w:r w:rsidR="0074649C">
        <w:t>1</w:t>
      </w:r>
      <w:r>
        <w:t xml:space="preserve">.  </w:t>
      </w:r>
    </w:p>
    <w:p w:rsidR="00B1449C" w:rsidRDefault="00B1449C" w:rsidP="00B1449C">
      <w:pPr>
        <w:pStyle w:val="xl19"/>
        <w:spacing w:before="0" w:after="0"/>
        <w:rPr>
          <w:b/>
        </w:rPr>
      </w:pPr>
    </w:p>
    <w:p w:rsidR="00581115" w:rsidRDefault="00CF7B1C" w:rsidP="00CF7B1C">
      <w:pPr>
        <w:tabs>
          <w:tab w:val="left" w:pos="720"/>
          <w:tab w:val="left" w:pos="1440"/>
          <w:tab w:val="left" w:pos="2160"/>
          <w:tab w:val="left" w:pos="2880"/>
          <w:tab w:val="left" w:pos="3600"/>
        </w:tabs>
      </w:pPr>
      <w:r>
        <w:t xml:space="preserve"> </w:t>
      </w:r>
    </w:p>
    <w:p w:rsidR="00581115" w:rsidRPr="00581115" w:rsidRDefault="00581115" w:rsidP="00CF7B1C">
      <w:pPr>
        <w:tabs>
          <w:tab w:val="left" w:pos="720"/>
          <w:tab w:val="left" w:pos="1440"/>
          <w:tab w:val="left" w:pos="2160"/>
          <w:tab w:val="left" w:pos="2880"/>
          <w:tab w:val="left" w:pos="3600"/>
        </w:tabs>
        <w:rPr>
          <w:b/>
        </w:rPr>
      </w:pPr>
      <w:r>
        <w:br w:type="page"/>
      </w:r>
      <w:r w:rsidRPr="00581115">
        <w:rPr>
          <w:b/>
        </w:rPr>
        <w:lastRenderedPageBreak/>
        <w:t>Item Name:</w:t>
      </w:r>
      <w:r w:rsidRPr="00581115">
        <w:rPr>
          <w:b/>
        </w:rPr>
        <w:tab/>
      </w:r>
      <w:r w:rsidRPr="00581115">
        <w:rPr>
          <w:b/>
        </w:rPr>
        <w:tab/>
      </w:r>
      <w:r w:rsidRPr="00581115">
        <w:rPr>
          <w:b/>
        </w:rPr>
        <w:tab/>
      </w:r>
      <w:r w:rsidRPr="00581115">
        <w:rPr>
          <w:b/>
        </w:rPr>
        <w:tab/>
      </w:r>
      <w:r w:rsidR="005D0E25">
        <w:rPr>
          <w:b/>
          <w:u w:val="single"/>
        </w:rPr>
        <w:t>Rescission</w:t>
      </w:r>
      <w:r w:rsidR="005D0E25" w:rsidRPr="00581115">
        <w:rPr>
          <w:b/>
          <w:u w:val="single"/>
        </w:rPr>
        <w:t xml:space="preserve"> </w:t>
      </w:r>
      <w:r w:rsidRPr="00581115">
        <w:rPr>
          <w:b/>
          <w:u w:val="single"/>
        </w:rPr>
        <w:t>of Prior Years’ Unobligated New</w:t>
      </w:r>
      <w:r w:rsidRPr="00581115">
        <w:rPr>
          <w:b/>
        </w:rPr>
        <w:t xml:space="preserve"> </w:t>
      </w:r>
    </w:p>
    <w:p w:rsidR="00581EBA" w:rsidRPr="00581115" w:rsidRDefault="00581115" w:rsidP="00CF7B1C">
      <w:pPr>
        <w:tabs>
          <w:tab w:val="left" w:pos="720"/>
          <w:tab w:val="left" w:pos="1440"/>
          <w:tab w:val="left" w:pos="2160"/>
          <w:tab w:val="left" w:pos="2880"/>
          <w:tab w:val="left" w:pos="3600"/>
        </w:tabs>
        <w:rPr>
          <w:b/>
          <w:u w:val="single"/>
        </w:rPr>
      </w:pPr>
      <w:r w:rsidRPr="00581115">
        <w:rPr>
          <w:b/>
        </w:rPr>
        <w:tab/>
      </w:r>
      <w:r w:rsidRPr="00581115">
        <w:rPr>
          <w:b/>
        </w:rPr>
        <w:tab/>
      </w:r>
      <w:r w:rsidRPr="00581115">
        <w:rPr>
          <w:b/>
        </w:rPr>
        <w:tab/>
      </w:r>
      <w:r w:rsidRPr="00581115">
        <w:rPr>
          <w:b/>
        </w:rPr>
        <w:tab/>
      </w:r>
      <w:r w:rsidRPr="00581115">
        <w:rPr>
          <w:b/>
        </w:rPr>
        <w:tab/>
      </w:r>
      <w:r w:rsidRPr="00581115">
        <w:rPr>
          <w:b/>
          <w:u w:val="single"/>
        </w:rPr>
        <w:t>Construction</w:t>
      </w:r>
      <w:r w:rsidRPr="00581115">
        <w:rPr>
          <w:u w:val="single"/>
        </w:rPr>
        <w:t xml:space="preserve"> </w:t>
      </w:r>
      <w:r w:rsidRPr="00581115">
        <w:rPr>
          <w:b/>
          <w:u w:val="single"/>
        </w:rPr>
        <w:t>Balances</w:t>
      </w:r>
    </w:p>
    <w:p w:rsidR="00581115" w:rsidRPr="00581115" w:rsidRDefault="00581115" w:rsidP="00CF7B1C">
      <w:pPr>
        <w:tabs>
          <w:tab w:val="left" w:pos="720"/>
          <w:tab w:val="left" w:pos="1440"/>
          <w:tab w:val="left" w:pos="2160"/>
          <w:tab w:val="left" w:pos="2880"/>
          <w:tab w:val="left" w:pos="3600"/>
        </w:tabs>
        <w:rPr>
          <w:b/>
        </w:rPr>
      </w:pPr>
    </w:p>
    <w:p w:rsidR="00581115" w:rsidRDefault="00581115" w:rsidP="00CF7B1C">
      <w:pPr>
        <w:tabs>
          <w:tab w:val="left" w:pos="720"/>
          <w:tab w:val="left" w:pos="1440"/>
          <w:tab w:val="left" w:pos="2160"/>
          <w:tab w:val="left" w:pos="2880"/>
          <w:tab w:val="left" w:pos="3600"/>
        </w:tabs>
      </w:pPr>
      <w:r>
        <w:t>Budget Decision Unit(s):</w:t>
      </w:r>
      <w:r>
        <w:tab/>
      </w:r>
      <w:r>
        <w:tab/>
      </w:r>
      <w:r w:rsidRPr="00581115">
        <w:rPr>
          <w:u w:val="single"/>
        </w:rPr>
        <w:t>New Construction</w:t>
      </w:r>
    </w:p>
    <w:p w:rsidR="00581115" w:rsidRDefault="00581115" w:rsidP="00CF7B1C">
      <w:pPr>
        <w:tabs>
          <w:tab w:val="left" w:pos="720"/>
          <w:tab w:val="left" w:pos="1440"/>
          <w:tab w:val="left" w:pos="2160"/>
          <w:tab w:val="left" w:pos="2880"/>
          <w:tab w:val="left" w:pos="3600"/>
        </w:tabs>
      </w:pPr>
      <w:r>
        <w:t>Strategic Goal(s) &amp; Objective(s):</w:t>
      </w:r>
      <w:r>
        <w:tab/>
      </w:r>
      <w:r w:rsidRPr="00581115">
        <w:rPr>
          <w:u w:val="single"/>
        </w:rPr>
        <w:t>Goal3; Objective 3.3</w:t>
      </w:r>
    </w:p>
    <w:p w:rsidR="00581115" w:rsidRDefault="00581115" w:rsidP="00CF7B1C">
      <w:pPr>
        <w:tabs>
          <w:tab w:val="left" w:pos="720"/>
          <w:tab w:val="left" w:pos="1440"/>
          <w:tab w:val="left" w:pos="2160"/>
          <w:tab w:val="left" w:pos="2880"/>
          <w:tab w:val="left" w:pos="3600"/>
        </w:tabs>
      </w:pPr>
      <w:r>
        <w:t>Organization Program:</w:t>
      </w:r>
      <w:r>
        <w:tab/>
      </w:r>
      <w:r>
        <w:tab/>
      </w:r>
      <w:r w:rsidRPr="00581115">
        <w:rPr>
          <w:u w:val="single"/>
        </w:rPr>
        <w:t>New Construction</w:t>
      </w:r>
    </w:p>
    <w:p w:rsidR="00581115" w:rsidRDefault="00581115" w:rsidP="00CF7B1C">
      <w:pPr>
        <w:tabs>
          <w:tab w:val="left" w:pos="720"/>
          <w:tab w:val="left" w:pos="1440"/>
          <w:tab w:val="left" w:pos="2160"/>
          <w:tab w:val="left" w:pos="2880"/>
          <w:tab w:val="left" w:pos="3600"/>
        </w:tabs>
      </w:pPr>
    </w:p>
    <w:p w:rsidR="00581115" w:rsidRDefault="00581115" w:rsidP="00CF7B1C">
      <w:pPr>
        <w:tabs>
          <w:tab w:val="left" w:pos="720"/>
          <w:tab w:val="left" w:pos="1440"/>
          <w:tab w:val="left" w:pos="2160"/>
          <w:tab w:val="left" w:pos="2880"/>
          <w:tab w:val="left" w:pos="3600"/>
        </w:tabs>
      </w:pPr>
      <w:r>
        <w:tab/>
      </w:r>
      <w:r>
        <w:tab/>
      </w:r>
      <w:r>
        <w:tab/>
      </w:r>
      <w:r>
        <w:tab/>
      </w:r>
      <w:r>
        <w:tab/>
      </w:r>
      <w:r>
        <w:tab/>
      </w:r>
      <w:r>
        <w:tab/>
      </w:r>
      <w:r>
        <w:tab/>
      </w:r>
      <w:r>
        <w:tab/>
        <w:t xml:space="preserve">  Dollars</w:t>
      </w:r>
    </w:p>
    <w:p w:rsidR="00581115" w:rsidRDefault="00581115" w:rsidP="00CF7B1C">
      <w:pPr>
        <w:tabs>
          <w:tab w:val="left" w:pos="720"/>
          <w:tab w:val="left" w:pos="1440"/>
          <w:tab w:val="left" w:pos="2160"/>
          <w:tab w:val="left" w:pos="2880"/>
          <w:tab w:val="left" w:pos="3600"/>
        </w:tabs>
      </w:pPr>
      <w:r>
        <w:t>Program Reduction:</w:t>
      </w:r>
      <w:r>
        <w:tab/>
      </w:r>
      <w:r>
        <w:tab/>
      </w:r>
      <w:r>
        <w:tab/>
      </w:r>
      <w:r w:rsidRPr="00581115">
        <w:rPr>
          <w:u w:val="single"/>
        </w:rPr>
        <w:t>Pos</w:t>
      </w:r>
      <w:r>
        <w:t>.</w:t>
      </w:r>
      <w:r>
        <w:tab/>
      </w:r>
      <w:r w:rsidRPr="00581115">
        <w:rPr>
          <w:u w:val="single"/>
        </w:rPr>
        <w:t>Agt./Atty</w:t>
      </w:r>
      <w:r>
        <w:t>.</w:t>
      </w:r>
      <w:r>
        <w:tab/>
      </w:r>
      <w:r w:rsidRPr="00581115">
        <w:rPr>
          <w:u w:val="single"/>
        </w:rPr>
        <w:t>FTE</w:t>
      </w:r>
      <w:r>
        <w:tab/>
        <w:t xml:space="preserve">   </w:t>
      </w:r>
      <w:r w:rsidRPr="00581115">
        <w:rPr>
          <w:u w:val="single"/>
        </w:rPr>
        <w:t>($000)</w:t>
      </w:r>
    </w:p>
    <w:p w:rsidR="00581115" w:rsidRDefault="00581115" w:rsidP="00CF7B1C">
      <w:pPr>
        <w:tabs>
          <w:tab w:val="left" w:pos="720"/>
          <w:tab w:val="left" w:pos="1440"/>
          <w:tab w:val="left" w:pos="2160"/>
          <w:tab w:val="left" w:pos="2880"/>
          <w:tab w:val="left" w:pos="3600"/>
        </w:tabs>
      </w:pPr>
      <w:r>
        <w:tab/>
      </w:r>
      <w:r>
        <w:tab/>
      </w:r>
      <w:r>
        <w:tab/>
      </w:r>
      <w:r>
        <w:tab/>
      </w:r>
      <w:r>
        <w:tab/>
        <w:t xml:space="preserve">  0</w:t>
      </w:r>
      <w:r>
        <w:tab/>
        <w:t xml:space="preserve">       0</w:t>
      </w:r>
      <w:r>
        <w:tab/>
      </w:r>
      <w:r>
        <w:tab/>
        <w:t xml:space="preserve">  0</w:t>
      </w:r>
      <w:r>
        <w:tab/>
        <w:t>($35,000)</w:t>
      </w:r>
    </w:p>
    <w:p w:rsidR="00581115" w:rsidRDefault="00581115" w:rsidP="00CF7B1C">
      <w:pPr>
        <w:tabs>
          <w:tab w:val="left" w:pos="720"/>
          <w:tab w:val="left" w:pos="1440"/>
          <w:tab w:val="left" w:pos="2160"/>
          <w:tab w:val="left" w:pos="2880"/>
          <w:tab w:val="left" w:pos="3600"/>
        </w:tabs>
      </w:pPr>
    </w:p>
    <w:p w:rsidR="00581115" w:rsidRDefault="00581115" w:rsidP="00CF7B1C">
      <w:pPr>
        <w:tabs>
          <w:tab w:val="left" w:pos="720"/>
          <w:tab w:val="left" w:pos="1440"/>
          <w:tab w:val="left" w:pos="2160"/>
          <w:tab w:val="left" w:pos="2880"/>
          <w:tab w:val="left" w:pos="3600"/>
        </w:tabs>
      </w:pPr>
    </w:p>
    <w:p w:rsidR="00581115" w:rsidRDefault="00581115" w:rsidP="00CF7B1C">
      <w:pPr>
        <w:tabs>
          <w:tab w:val="left" w:pos="720"/>
          <w:tab w:val="left" w:pos="1440"/>
          <w:tab w:val="left" w:pos="2160"/>
          <w:tab w:val="left" w:pos="2880"/>
          <w:tab w:val="left" w:pos="3600"/>
        </w:tabs>
      </w:pPr>
      <w:r w:rsidRPr="00581115">
        <w:rPr>
          <w:u w:val="single"/>
        </w:rPr>
        <w:t>Description of Item</w:t>
      </w:r>
    </w:p>
    <w:p w:rsidR="00581115" w:rsidRDefault="00581115" w:rsidP="00CF7B1C">
      <w:pPr>
        <w:tabs>
          <w:tab w:val="left" w:pos="720"/>
          <w:tab w:val="left" w:pos="1440"/>
          <w:tab w:val="left" w:pos="2160"/>
          <w:tab w:val="left" w:pos="2880"/>
          <w:tab w:val="left" w:pos="3600"/>
        </w:tabs>
      </w:pPr>
    </w:p>
    <w:p w:rsidR="00581115" w:rsidRDefault="00581115" w:rsidP="00CF7B1C">
      <w:pPr>
        <w:tabs>
          <w:tab w:val="left" w:pos="720"/>
          <w:tab w:val="left" w:pos="1440"/>
          <w:tab w:val="left" w:pos="2160"/>
          <w:tab w:val="left" w:pos="2880"/>
          <w:tab w:val="left" w:pos="3600"/>
        </w:tabs>
      </w:pPr>
      <w:r>
        <w:t xml:space="preserve">The Administration proposes to </w:t>
      </w:r>
      <w:r w:rsidR="005D0E25">
        <w:t xml:space="preserve">rescind </w:t>
      </w:r>
      <w:r w:rsidR="00B76748">
        <w:t>$35</w:t>
      </w:r>
      <w:r w:rsidR="00B25026">
        <w:t>,000,000</w:t>
      </w:r>
      <w:r w:rsidR="00B76748">
        <w:t xml:space="preserve"> in prior years’ new construction unobligated balances.  </w:t>
      </w:r>
      <w:r w:rsidR="00480A92">
        <w:t xml:space="preserve">This proposal will result in a </w:t>
      </w:r>
      <w:r w:rsidR="005D0E25">
        <w:t xml:space="preserve">rescission </w:t>
      </w:r>
      <w:r w:rsidR="00480A92">
        <w:t>of $30</w:t>
      </w:r>
      <w:r w:rsidR="00B25026">
        <w:t>,000,000</w:t>
      </w:r>
      <w:r w:rsidR="00480A92">
        <w:t xml:space="preserve"> in balances intended for the “Acquire Existing Institution for Higher Security FCI” project and </w:t>
      </w:r>
      <w:r w:rsidR="005D0E25">
        <w:t xml:space="preserve">rescission </w:t>
      </w:r>
      <w:r w:rsidR="004C2B16">
        <w:t xml:space="preserve">of </w:t>
      </w:r>
      <w:r w:rsidR="00480A92">
        <w:t>$5</w:t>
      </w:r>
      <w:r w:rsidR="00B25026">
        <w:t>,000,000</w:t>
      </w:r>
      <w:r w:rsidR="00480A92">
        <w:t xml:space="preserve"> in balances for the </w:t>
      </w:r>
      <w:r w:rsidR="004C2B16">
        <w:t>“</w:t>
      </w:r>
      <w:r w:rsidR="00480A92">
        <w:t>FCI Midwestern/Leavenworth, KS” project.</w:t>
      </w:r>
    </w:p>
    <w:p w:rsidR="00C42EF4" w:rsidRDefault="00C42EF4" w:rsidP="00CF7B1C">
      <w:pPr>
        <w:tabs>
          <w:tab w:val="left" w:pos="720"/>
          <w:tab w:val="left" w:pos="1440"/>
          <w:tab w:val="left" w:pos="2160"/>
          <w:tab w:val="left" w:pos="2880"/>
          <w:tab w:val="left" w:pos="3600"/>
        </w:tabs>
      </w:pPr>
    </w:p>
    <w:p w:rsidR="00C42EF4" w:rsidRPr="004C222C" w:rsidRDefault="004C222C" w:rsidP="00CF7B1C">
      <w:pPr>
        <w:tabs>
          <w:tab w:val="left" w:pos="720"/>
          <w:tab w:val="left" w:pos="1440"/>
          <w:tab w:val="left" w:pos="2160"/>
          <w:tab w:val="left" w:pos="2880"/>
          <w:tab w:val="left" w:pos="3600"/>
        </w:tabs>
        <w:rPr>
          <w:u w:val="single"/>
        </w:rPr>
      </w:pPr>
      <w:r w:rsidRPr="004C222C">
        <w:rPr>
          <w:u w:val="single"/>
        </w:rPr>
        <w:t>Justification</w:t>
      </w:r>
    </w:p>
    <w:p w:rsidR="004C222C" w:rsidRDefault="00202E1C" w:rsidP="00CF7B1C">
      <w:pPr>
        <w:tabs>
          <w:tab w:val="left" w:pos="720"/>
          <w:tab w:val="left" w:pos="1440"/>
          <w:tab w:val="left" w:pos="2160"/>
          <w:tab w:val="left" w:pos="2880"/>
          <w:tab w:val="left" w:pos="3600"/>
        </w:tabs>
      </w:pPr>
      <w:r>
        <w:t>For</w:t>
      </w:r>
      <w:r w:rsidR="00B25026">
        <w:t xml:space="preserve"> FY 2012, the Administration proposes a </w:t>
      </w:r>
      <w:r w:rsidR="005D0E25">
        <w:t>rescission</w:t>
      </w:r>
      <w:r w:rsidR="00B25026">
        <w:t xml:space="preserve"> of $35,000,000 in prior years’ unobligated balances.</w:t>
      </w:r>
    </w:p>
    <w:p w:rsidR="004C222C" w:rsidRDefault="004C222C" w:rsidP="00CF7B1C">
      <w:pPr>
        <w:tabs>
          <w:tab w:val="left" w:pos="720"/>
          <w:tab w:val="left" w:pos="1440"/>
          <w:tab w:val="left" w:pos="2160"/>
          <w:tab w:val="left" w:pos="2880"/>
          <w:tab w:val="left" w:pos="3600"/>
        </w:tabs>
      </w:pPr>
    </w:p>
    <w:p w:rsidR="00885131" w:rsidRDefault="00885131" w:rsidP="00CF7B1C">
      <w:pPr>
        <w:tabs>
          <w:tab w:val="left" w:pos="720"/>
          <w:tab w:val="left" w:pos="1440"/>
          <w:tab w:val="left" w:pos="2160"/>
          <w:tab w:val="left" w:pos="2880"/>
          <w:tab w:val="left" w:pos="3600"/>
        </w:tabs>
      </w:pPr>
    </w:p>
    <w:p w:rsidR="004C222C" w:rsidRPr="004C222C" w:rsidRDefault="004C222C" w:rsidP="00CF7B1C">
      <w:pPr>
        <w:tabs>
          <w:tab w:val="left" w:pos="720"/>
          <w:tab w:val="left" w:pos="1440"/>
          <w:tab w:val="left" w:pos="2160"/>
          <w:tab w:val="left" w:pos="2880"/>
          <w:tab w:val="left" w:pos="3600"/>
        </w:tabs>
        <w:rPr>
          <w:u w:val="single"/>
        </w:rPr>
      </w:pPr>
      <w:r w:rsidRPr="004C222C">
        <w:rPr>
          <w:u w:val="single"/>
        </w:rPr>
        <w:t>Impact on Performance (Relationship of Increase to Strategic Goals)</w:t>
      </w:r>
    </w:p>
    <w:p w:rsidR="00FE0E2B" w:rsidRDefault="00FE0E2B" w:rsidP="00CF7B1C">
      <w:pPr>
        <w:tabs>
          <w:tab w:val="left" w:pos="720"/>
          <w:tab w:val="left" w:pos="1440"/>
          <w:tab w:val="left" w:pos="2160"/>
          <w:tab w:val="left" w:pos="2880"/>
          <w:tab w:val="left" w:pos="3600"/>
        </w:tabs>
      </w:pPr>
      <w:r>
        <w:t xml:space="preserve">The proposed </w:t>
      </w:r>
      <w:r w:rsidR="005D0E25">
        <w:t>rescission</w:t>
      </w:r>
      <w:r>
        <w:t xml:space="preserve"> reduces funds supporting DOJ Strategic Goal 3, Ensure the Fair and Efficient Administration of Justice.  </w:t>
      </w:r>
      <w:r w:rsidR="00613283">
        <w:t>These two projects are inc</w:t>
      </w:r>
      <w:r w:rsidR="00E72066">
        <w:t>orporated</w:t>
      </w:r>
      <w:r w:rsidR="00613283">
        <w:t xml:space="preserve"> in the Bureau of Prison’s Capacity Plan </w:t>
      </w:r>
      <w:r w:rsidR="00E72066">
        <w:t xml:space="preserve">and are an integral part of adding beds to help manage projected inmate </w:t>
      </w:r>
      <w:r w:rsidR="004C2B16">
        <w:t>population growth and current overc</w:t>
      </w:r>
      <w:r w:rsidR="00E72066">
        <w:t xml:space="preserve">rowding.  </w:t>
      </w:r>
      <w:r>
        <w:t xml:space="preserve">The “Acquire Existing Institution for Higher Security FCI” project </w:t>
      </w:r>
      <w:r w:rsidR="002A6023">
        <w:t>(1,2</w:t>
      </w:r>
      <w:r w:rsidR="005F267F">
        <w:t>9</w:t>
      </w:r>
      <w:r w:rsidR="002A6023">
        <w:t xml:space="preserve">0 beds) and </w:t>
      </w:r>
      <w:r w:rsidR="009C4029">
        <w:t>“</w:t>
      </w:r>
      <w:r w:rsidR="002A6023">
        <w:t>FCI Midwestern/Leavenworth, KS</w:t>
      </w:r>
      <w:r w:rsidR="009C4029">
        <w:t>”</w:t>
      </w:r>
      <w:r w:rsidR="002A6023">
        <w:t xml:space="preserve"> (1,408 beds) would provide critically needed bed space for the </w:t>
      </w:r>
      <w:r w:rsidR="004C2B16">
        <w:t xml:space="preserve">constantly </w:t>
      </w:r>
      <w:r w:rsidR="002A6023">
        <w:t xml:space="preserve">increasing federal inmate population.  </w:t>
      </w:r>
      <w:r>
        <w:t xml:space="preserve">Without the capacity </w:t>
      </w:r>
      <w:r w:rsidR="00442857">
        <w:t>from these projects</w:t>
      </w:r>
      <w:r>
        <w:t xml:space="preserve">, the population will continue to increase but no new bed space will be added which will crowd inmates </w:t>
      </w:r>
      <w:r w:rsidR="004C2B16">
        <w:t xml:space="preserve">even more </w:t>
      </w:r>
      <w:r>
        <w:t>and increase the inmate to staff ratio, put more demands on staff</w:t>
      </w:r>
      <w:r w:rsidR="004C2B16">
        <w:t>,</w:t>
      </w:r>
      <w:r>
        <w:t xml:space="preserve"> and make it more difficult for staff to safely manage and supervise inmates.</w:t>
      </w:r>
    </w:p>
    <w:p w:rsidR="00FE0E2B" w:rsidRDefault="00FE0E2B" w:rsidP="00CF7B1C">
      <w:pPr>
        <w:tabs>
          <w:tab w:val="left" w:pos="720"/>
          <w:tab w:val="left" w:pos="1440"/>
          <w:tab w:val="left" w:pos="2160"/>
          <w:tab w:val="left" w:pos="2880"/>
          <w:tab w:val="left" w:pos="3600"/>
        </w:tabs>
      </w:pPr>
    </w:p>
    <w:p w:rsidR="00BC5F6B" w:rsidRDefault="005F267F" w:rsidP="00BC5F6B">
      <w:r>
        <w:br w:type="page"/>
      </w:r>
    </w:p>
    <w:p w:rsidR="00BC5F6B" w:rsidRDefault="00BC5F6B" w:rsidP="00BC5F6B"/>
    <w:p w:rsidR="00BC5F6B" w:rsidRDefault="00BC5F6B" w:rsidP="00BC5F6B"/>
    <w:p w:rsidR="00BC5F6B" w:rsidRPr="00BC5F6B" w:rsidRDefault="005D0E25" w:rsidP="00BC5F6B">
      <w:pPr>
        <w:rPr>
          <w:b/>
        </w:rPr>
      </w:pPr>
      <w:r>
        <w:rPr>
          <w:b/>
        </w:rPr>
        <w:t xml:space="preserve">Rescission </w:t>
      </w:r>
      <w:r w:rsidR="00E45A66">
        <w:rPr>
          <w:b/>
        </w:rPr>
        <w:t>of Funds from “</w:t>
      </w:r>
      <w:r w:rsidR="00BC5F6B" w:rsidRPr="00BC5F6B">
        <w:rPr>
          <w:b/>
        </w:rPr>
        <w:t>Acquire Existing Institution for Higher Security FCI</w:t>
      </w:r>
      <w:r w:rsidR="00E45A66">
        <w:rPr>
          <w:b/>
        </w:rPr>
        <w:t>”</w:t>
      </w:r>
    </w:p>
    <w:p w:rsidR="00BC5F6B" w:rsidRDefault="00E45A66" w:rsidP="00BC5F6B">
      <w:pPr>
        <w:rPr>
          <w:b/>
          <w:bCs/>
        </w:rPr>
      </w:pPr>
      <w:r>
        <w:rPr>
          <w:b/>
          <w:bCs/>
        </w:rPr>
        <w:t>Project</w:t>
      </w:r>
    </w:p>
    <w:p w:rsidR="00E45A66" w:rsidRDefault="00E45A66" w:rsidP="00BC5F6B">
      <w:pPr>
        <w:rPr>
          <w:b/>
          <w:bCs/>
        </w:rPr>
      </w:pPr>
    </w:p>
    <w:p w:rsidR="00E45A66" w:rsidRDefault="00E45A66" w:rsidP="00BC5F6B"/>
    <w:p w:rsidR="00BC5F6B" w:rsidRDefault="00BC5F6B" w:rsidP="00BC5F6B">
      <w:pPr>
        <w:jc w:val="center"/>
      </w:pPr>
      <w:r>
        <w:t>(Dollars in Thousands)</w:t>
      </w:r>
    </w:p>
    <w:p w:rsidR="00BC5F6B" w:rsidRDefault="00BC5F6B" w:rsidP="00BC5F6B"/>
    <w:p w:rsidR="00BC5F6B" w:rsidRDefault="00BC5F6B" w:rsidP="00BC5F6B">
      <w:r>
        <w:rPr>
          <w:u w:val="single"/>
        </w:rPr>
        <w:t>Base Funding</w:t>
      </w:r>
    </w:p>
    <w:p w:rsidR="00BC5F6B" w:rsidRDefault="00BC5F6B" w:rsidP="00BC5F6B">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w:t>
      </w:r>
      <w:r>
        <w:tab/>
      </w:r>
      <w:r>
        <w:tab/>
      </w:r>
      <w:r>
        <w:tab/>
      </w:r>
      <w:r>
        <w:tab/>
        <w:t xml:space="preserve">              FY 2011 </w:t>
      </w:r>
      <w:r>
        <w:tab/>
      </w:r>
      <w:r>
        <w:tab/>
        <w:t xml:space="preserve">              FY 2012</w:t>
      </w:r>
    </w:p>
    <w:p w:rsidR="00BC5F6B" w:rsidRDefault="00BC5F6B" w:rsidP="00BC5F6B">
      <w:r>
        <w:t xml:space="preserve">   FY 2010 Enacted                      President’s Budget                      Current Services</w:t>
      </w:r>
    </w:p>
    <w:p w:rsidR="00BC5F6B" w:rsidRDefault="00BC5F6B" w:rsidP="00BC5F6B">
      <w:r>
        <w:rPr>
          <w:u w:val="single"/>
        </w:rPr>
        <w:t>Pos     FTE      Dollars</w:t>
      </w:r>
      <w:r>
        <w:t xml:space="preserve">                  </w:t>
      </w:r>
      <w:r>
        <w:rPr>
          <w:u w:val="single"/>
        </w:rPr>
        <w:t>Pos     FTE      Dollars</w:t>
      </w:r>
      <w:r>
        <w:t xml:space="preserve">              </w:t>
      </w:r>
      <w:r>
        <w:rPr>
          <w:u w:val="single"/>
        </w:rPr>
        <w:t>Pos     FTE     Dollars</w:t>
      </w:r>
    </w:p>
    <w:p w:rsidR="00BC5F6B" w:rsidRDefault="00BC5F6B"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0</w:t>
      </w:r>
      <w:r>
        <w:tab/>
        <w:t>0</w:t>
      </w:r>
      <w:r>
        <w:tab/>
        <w:t xml:space="preserve">    0</w:t>
      </w:r>
      <w:r>
        <w:tab/>
      </w:r>
      <w:r>
        <w:tab/>
        <w:t xml:space="preserve">      0</w:t>
      </w:r>
      <w:r>
        <w:tab/>
        <w:t xml:space="preserve">      0</w:t>
      </w:r>
      <w:r>
        <w:tab/>
        <w:t xml:space="preserve">        0</w:t>
      </w:r>
      <w:r>
        <w:tab/>
      </w:r>
      <w:r>
        <w:tab/>
        <w:t xml:space="preserve">        </w:t>
      </w:r>
      <w:r w:rsidR="004D781A">
        <w:t>0</w:t>
      </w:r>
      <w:r>
        <w:tab/>
        <w:t xml:space="preserve">       </w:t>
      </w:r>
      <w:r w:rsidR="004D781A">
        <w:t>0</w:t>
      </w:r>
      <w:r>
        <w:tab/>
        <w:t xml:space="preserve">     $1</w:t>
      </w:r>
      <w:r w:rsidR="00E45A66">
        <w:t>0</w:t>
      </w:r>
      <w:r w:rsidR="001A0881">
        <w:t>4</w:t>
      </w:r>
      <w:r>
        <w:t>,</w:t>
      </w:r>
      <w:r w:rsidR="001A0881">
        <w:t>724</w:t>
      </w:r>
    </w:p>
    <w:p w:rsidR="00BC5F6B" w:rsidRDefault="00BC5F6B" w:rsidP="00BC5F6B"/>
    <w:p w:rsidR="001A0881" w:rsidRDefault="001A0881" w:rsidP="00BC5F6B"/>
    <w:p w:rsidR="00BC5F6B" w:rsidRPr="00B52B93" w:rsidRDefault="00BC5F6B" w:rsidP="00BC5F6B">
      <w:r>
        <w:rPr>
          <w:u w:val="single"/>
        </w:rPr>
        <w:t xml:space="preserve">Non-Personnel </w:t>
      </w:r>
      <w:r w:rsidR="004D781A">
        <w:rPr>
          <w:u w:val="single"/>
        </w:rPr>
        <w:t>Decrease</w:t>
      </w:r>
      <w:r>
        <w:rPr>
          <w:u w:val="single"/>
        </w:rPr>
        <w:t xml:space="preserve"> Cost Summary</w:t>
      </w:r>
      <w:r>
        <w:tab/>
      </w:r>
      <w:r>
        <w:tab/>
      </w:r>
      <w:r>
        <w:tab/>
      </w:r>
      <w:r>
        <w:tab/>
      </w:r>
      <w:r>
        <w:tab/>
        <w:t xml:space="preserve">      FY 2013 Net</w:t>
      </w:r>
    </w:p>
    <w:p w:rsidR="00BC5F6B" w:rsidRDefault="00BC5F6B"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FY 2012  </w:t>
      </w:r>
      <w:r>
        <w:tab/>
        <w:t xml:space="preserve">     Annualization</w:t>
      </w:r>
    </w:p>
    <w:p w:rsidR="00BC5F6B" w:rsidRDefault="00BC5F6B"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Pr>
          <w:u w:val="single"/>
        </w:rPr>
        <w:t>Item</w:t>
      </w:r>
      <w:r>
        <w:t xml:space="preserve">                      </w:t>
      </w:r>
      <w:r>
        <w:rPr>
          <w:u w:val="single"/>
        </w:rPr>
        <w:t>Unit</w:t>
      </w:r>
      <w:r>
        <w:t xml:space="preserve">                           </w:t>
      </w:r>
      <w:r>
        <w:rPr>
          <w:u w:val="single"/>
        </w:rPr>
        <w:t>Quantity</w:t>
      </w:r>
      <w:r>
        <w:t xml:space="preserve">                </w:t>
      </w:r>
      <w:r>
        <w:rPr>
          <w:u w:val="single"/>
        </w:rPr>
        <w:t>Request</w:t>
      </w:r>
      <w:r>
        <w:t xml:space="preserve">  </w:t>
      </w:r>
      <w:r>
        <w:tab/>
      </w:r>
      <w:r w:rsidRPr="00B52B93">
        <w:rPr>
          <w:u w:val="single"/>
        </w:rPr>
        <w:t>(change from 20</w:t>
      </w:r>
      <w:r>
        <w:rPr>
          <w:u w:val="single"/>
        </w:rPr>
        <w:t>12</w:t>
      </w:r>
      <w:r w:rsidRPr="00B52B93">
        <w:rPr>
          <w:u w:val="single"/>
        </w:rPr>
        <w:t>)</w:t>
      </w:r>
    </w:p>
    <w:p w:rsidR="00E45A66" w:rsidRDefault="005D0E25"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Rescission</w:t>
      </w:r>
      <w:r w:rsidR="00E45A66">
        <w:t xml:space="preserve"> of</w:t>
      </w:r>
    </w:p>
    <w:p w:rsidR="00E45A66" w:rsidRDefault="00E45A66"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Prior Years’</w:t>
      </w:r>
    </w:p>
    <w:p w:rsidR="00E45A66" w:rsidRDefault="00E45A66"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Unobligated </w:t>
      </w:r>
    </w:p>
    <w:p w:rsidR="00BC5F6B" w:rsidRDefault="00E45A66" w:rsidP="00BC5F6B">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Balance</w:t>
      </w:r>
      <w:r w:rsidR="00BC5F6B">
        <w:tab/>
        <w:t xml:space="preserve">        </w:t>
      </w:r>
      <w:r w:rsidR="004D781A">
        <w:t>n/a</w:t>
      </w:r>
      <w:r w:rsidR="00BC5F6B">
        <w:t xml:space="preserve"> </w:t>
      </w:r>
      <w:r w:rsidR="00BC5F6B">
        <w:tab/>
      </w:r>
      <w:r w:rsidR="00BC5F6B">
        <w:tab/>
        <w:t xml:space="preserve">         </w:t>
      </w:r>
      <w:r w:rsidR="004D781A">
        <w:t>n/a</w:t>
      </w:r>
      <w:r w:rsidR="004D781A">
        <w:tab/>
        <w:t xml:space="preserve">        (</w:t>
      </w:r>
      <w:r w:rsidR="00BC5F6B">
        <w:t>$</w:t>
      </w:r>
      <w:r w:rsidR="004D781A">
        <w:t>30</w:t>
      </w:r>
      <w:r w:rsidR="00BC5F6B">
        <w:t>,</w:t>
      </w:r>
      <w:r w:rsidR="004D781A">
        <w:t>000)</w:t>
      </w:r>
      <w:r w:rsidR="00BC5F6B">
        <w:tab/>
        <w:t xml:space="preserve">     </w:t>
      </w:r>
      <w:r w:rsidR="00BC5F6B">
        <w:tab/>
      </w:r>
      <w:r w:rsidR="004D781A">
        <w:t xml:space="preserve">           </w:t>
      </w:r>
      <w:r w:rsidR="00BC5F6B">
        <w:t>$</w:t>
      </w:r>
      <w:r w:rsidR="004D781A">
        <w:t>0</w:t>
      </w:r>
    </w:p>
    <w:p w:rsidR="00BC5F6B" w:rsidRDefault="00BC5F6B" w:rsidP="00BC5F6B"/>
    <w:p w:rsidR="00BC5F6B" w:rsidRDefault="00BC5F6B" w:rsidP="00BC5F6B"/>
    <w:p w:rsidR="001A0881" w:rsidRDefault="001A0881" w:rsidP="00BC5F6B"/>
    <w:p w:rsidR="00BC5F6B" w:rsidRDefault="00BC5F6B" w:rsidP="00BC5F6B">
      <w:r>
        <w:rPr>
          <w:u w:val="single"/>
        </w:rPr>
        <w:t>Total Request for this Item</w:t>
      </w:r>
    </w:p>
    <w:p w:rsidR="00BC5F6B" w:rsidRDefault="00BC5F6B" w:rsidP="00BC5F6B">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w:t>
      </w:r>
      <w:r>
        <w:tab/>
      </w:r>
      <w:r>
        <w:tab/>
        <w:t>Non-</w:t>
      </w:r>
    </w:p>
    <w:p w:rsidR="00BC5F6B" w:rsidRDefault="00BC5F6B"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                                  </w:t>
      </w:r>
      <w:r>
        <w:rPr>
          <w:u w:val="single"/>
        </w:rPr>
        <w:t>Pos</w:t>
      </w:r>
      <w:r>
        <w:t xml:space="preserve">.             </w:t>
      </w:r>
      <w:r>
        <w:rPr>
          <w:u w:val="single"/>
        </w:rPr>
        <w:t>FTE</w:t>
      </w:r>
      <w:r>
        <w:t xml:space="preserve">             </w:t>
      </w:r>
      <w:r>
        <w:rPr>
          <w:u w:val="single"/>
        </w:rPr>
        <w:t>Personnel</w:t>
      </w:r>
      <w:r>
        <w:t xml:space="preserve">              </w:t>
      </w:r>
      <w:r>
        <w:rPr>
          <w:u w:val="single"/>
        </w:rPr>
        <w:t>Personne</w:t>
      </w:r>
      <w:r>
        <w:t xml:space="preserve">l         </w:t>
      </w:r>
      <w:r>
        <w:tab/>
        <w:t xml:space="preserve">     </w:t>
      </w:r>
      <w:r>
        <w:rPr>
          <w:u w:val="single"/>
        </w:rPr>
        <w:t>Total</w:t>
      </w:r>
    </w:p>
    <w:p w:rsidR="00326478" w:rsidRDefault="005D0E25" w:rsidP="00BC5F6B">
      <w:r>
        <w:t xml:space="preserve">Rescission </w:t>
      </w:r>
      <w:r w:rsidR="004D781A">
        <w:t>of</w:t>
      </w:r>
    </w:p>
    <w:p w:rsidR="00BC5F6B" w:rsidRDefault="00326478" w:rsidP="00BC5F6B">
      <w:r>
        <w:t xml:space="preserve"> Unobligated Balance</w:t>
      </w:r>
      <w:r w:rsidR="00BC5F6B">
        <w:tab/>
      </w:r>
      <w:r w:rsidR="004D781A">
        <w:t>0</w:t>
      </w:r>
      <w:r w:rsidR="00BC5F6B">
        <w:tab/>
        <w:t xml:space="preserve">        </w:t>
      </w:r>
      <w:r w:rsidR="004D781A">
        <w:t>0</w:t>
      </w:r>
      <w:r w:rsidR="00BC5F6B">
        <w:tab/>
      </w:r>
      <w:r w:rsidR="00BC5F6B">
        <w:tab/>
        <w:t xml:space="preserve">     </w:t>
      </w:r>
      <w:r>
        <w:t xml:space="preserve">  </w:t>
      </w:r>
      <w:r w:rsidR="00BC5F6B">
        <w:t>$</w:t>
      </w:r>
      <w:r w:rsidR="004D781A">
        <w:t>0</w:t>
      </w:r>
      <w:r w:rsidR="00BC5F6B">
        <w:tab/>
      </w:r>
      <w:r w:rsidR="00BC5F6B">
        <w:tab/>
      </w:r>
      <w:r w:rsidR="004D781A">
        <w:t xml:space="preserve">        </w:t>
      </w:r>
      <w:r w:rsidR="00E45A66">
        <w:t xml:space="preserve"> </w:t>
      </w:r>
      <w:r w:rsidR="004D781A">
        <w:t xml:space="preserve"> (30</w:t>
      </w:r>
      <w:r w:rsidR="00BC5F6B">
        <w:t>,</w:t>
      </w:r>
      <w:r w:rsidR="004D781A">
        <w:t>000)</w:t>
      </w:r>
      <w:r w:rsidR="00BC5F6B">
        <w:t xml:space="preserve">  </w:t>
      </w:r>
      <w:r w:rsidR="004D781A">
        <w:tab/>
      </w:r>
      <w:r w:rsidR="00E45A66">
        <w:t xml:space="preserve"> </w:t>
      </w:r>
      <w:r w:rsidR="004D781A">
        <w:t>(</w:t>
      </w:r>
      <w:r w:rsidR="00BC5F6B">
        <w:t>3</w:t>
      </w:r>
      <w:r w:rsidR="004D781A">
        <w:t>0</w:t>
      </w:r>
      <w:r w:rsidR="00BC5F6B">
        <w:t>,</w:t>
      </w:r>
      <w:r w:rsidR="004D781A">
        <w:t>000)</w:t>
      </w:r>
    </w:p>
    <w:p w:rsidR="00BC5F6B" w:rsidRDefault="00BC5F6B" w:rsidP="00BC5F6B"/>
    <w:p w:rsidR="00326478" w:rsidRDefault="00326478"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E45A66" w:rsidRDefault="00BC5F6B"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Grand Total</w:t>
      </w:r>
    </w:p>
    <w:p w:rsidR="00E45A66" w:rsidRDefault="005D0E25"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Rescission </w:t>
      </w:r>
      <w:r w:rsidR="00E45A66">
        <w:t>from</w:t>
      </w:r>
    </w:p>
    <w:p w:rsidR="00E45A66" w:rsidRDefault="00E45A66"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Acquire Existing</w:t>
      </w:r>
    </w:p>
    <w:p w:rsidR="00E45A66" w:rsidRDefault="00E45A66"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Institution for Higher</w:t>
      </w:r>
    </w:p>
    <w:p w:rsidR="00BC5F6B" w:rsidRDefault="00E45A66" w:rsidP="00BC5F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Security FCI</w:t>
      </w:r>
      <w:r>
        <w:tab/>
      </w:r>
      <w:r w:rsidR="00BC5F6B">
        <w:t xml:space="preserve">            </w:t>
      </w:r>
      <w:r w:rsidR="00326478">
        <w:t>0</w:t>
      </w:r>
      <w:r w:rsidR="00BC5F6B">
        <w:tab/>
        <w:t xml:space="preserve">        </w:t>
      </w:r>
      <w:r w:rsidR="00326478">
        <w:t>0</w:t>
      </w:r>
      <w:r w:rsidR="00BC5F6B">
        <w:tab/>
      </w:r>
      <w:r w:rsidR="00BC5F6B">
        <w:tab/>
        <w:t xml:space="preserve">      </w:t>
      </w:r>
      <w:r w:rsidR="00326478">
        <w:t xml:space="preserve"> $0</w:t>
      </w:r>
      <w:r w:rsidR="00BC5F6B">
        <w:tab/>
        <w:t xml:space="preserve">          </w:t>
      </w:r>
      <w:r w:rsidR="00326478">
        <w:t xml:space="preserve">           ($30,000)</w:t>
      </w:r>
      <w:r w:rsidR="00BC5F6B">
        <w:t xml:space="preserve">          </w:t>
      </w:r>
      <w:r w:rsidR="00326478">
        <w:t xml:space="preserve"> ($</w:t>
      </w:r>
      <w:r w:rsidR="00BC5F6B">
        <w:t>30,000</w:t>
      </w:r>
      <w:r w:rsidR="00326478">
        <w:t>)</w:t>
      </w:r>
    </w:p>
    <w:p w:rsidR="00BC5F6B" w:rsidRDefault="00BC5F6B" w:rsidP="00BC5F6B"/>
    <w:p w:rsidR="001A0881" w:rsidRPr="00BC5F6B" w:rsidRDefault="00BC5F6B" w:rsidP="001A0881">
      <w:pPr>
        <w:rPr>
          <w:b/>
        </w:rPr>
      </w:pPr>
      <w:r>
        <w:rPr>
          <w:b/>
          <w:bCs/>
        </w:rPr>
        <w:br w:type="page"/>
      </w:r>
      <w:r w:rsidR="005D0E25">
        <w:rPr>
          <w:b/>
          <w:bCs/>
        </w:rPr>
        <w:lastRenderedPageBreak/>
        <w:t>Rescission</w:t>
      </w:r>
      <w:r w:rsidR="005D0E25">
        <w:rPr>
          <w:b/>
        </w:rPr>
        <w:t xml:space="preserve"> </w:t>
      </w:r>
      <w:r w:rsidR="001A0881">
        <w:rPr>
          <w:b/>
        </w:rPr>
        <w:t>of Funds from “FCI Midwestern/Leavenworth, KS”</w:t>
      </w:r>
    </w:p>
    <w:p w:rsidR="001A0881" w:rsidRDefault="001A0881" w:rsidP="001A0881">
      <w:pPr>
        <w:rPr>
          <w:b/>
          <w:bCs/>
        </w:rPr>
      </w:pPr>
      <w:r>
        <w:rPr>
          <w:b/>
          <w:bCs/>
        </w:rPr>
        <w:t>Project</w:t>
      </w:r>
    </w:p>
    <w:p w:rsidR="001A0881" w:rsidRDefault="001A0881" w:rsidP="001A0881">
      <w:pPr>
        <w:rPr>
          <w:b/>
          <w:bCs/>
        </w:rPr>
      </w:pPr>
    </w:p>
    <w:p w:rsidR="001A0881" w:rsidRDefault="001A0881" w:rsidP="001A0881"/>
    <w:p w:rsidR="001A0881" w:rsidRDefault="001A0881" w:rsidP="001A0881">
      <w:pPr>
        <w:jc w:val="center"/>
      </w:pPr>
      <w:r>
        <w:t>(Dollars in Thousands)</w:t>
      </w:r>
    </w:p>
    <w:p w:rsidR="001A0881" w:rsidRDefault="001A0881" w:rsidP="001A0881"/>
    <w:p w:rsidR="001A0881" w:rsidRDefault="001A0881" w:rsidP="001A0881">
      <w:r>
        <w:rPr>
          <w:u w:val="single"/>
        </w:rPr>
        <w:t>Base Funding</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w:t>
      </w:r>
      <w:r>
        <w:tab/>
      </w:r>
      <w:r>
        <w:tab/>
      </w:r>
      <w:r>
        <w:tab/>
      </w:r>
      <w:r>
        <w:tab/>
        <w:t xml:space="preserve">              FY 2011 </w:t>
      </w:r>
      <w:r>
        <w:tab/>
      </w:r>
      <w:r>
        <w:tab/>
        <w:t xml:space="preserve">              FY 2012</w:t>
      </w:r>
    </w:p>
    <w:p w:rsidR="001A0881" w:rsidRDefault="001A0881" w:rsidP="001A0881">
      <w:r>
        <w:t xml:space="preserve">   FY 2010 Enacted                      President’s Budget                      Current Services</w:t>
      </w:r>
    </w:p>
    <w:p w:rsidR="001A0881" w:rsidRDefault="001A0881" w:rsidP="001A0881">
      <w:r>
        <w:rPr>
          <w:u w:val="single"/>
        </w:rPr>
        <w:t>Pos     FTE      Dollars</w:t>
      </w:r>
      <w:r>
        <w:t xml:space="preserve">                  </w:t>
      </w:r>
      <w:r>
        <w:rPr>
          <w:u w:val="single"/>
        </w:rPr>
        <w:t>Pos     FTE      Dollars</w:t>
      </w:r>
      <w:r>
        <w:t xml:space="preserve">              </w:t>
      </w:r>
      <w:r>
        <w:rPr>
          <w:u w:val="single"/>
        </w:rPr>
        <w:t>Pos     FTE     Dollars</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0</w:t>
      </w:r>
      <w:r>
        <w:tab/>
        <w:t>0</w:t>
      </w:r>
      <w:r>
        <w:tab/>
        <w:t xml:space="preserve">    0</w:t>
      </w:r>
      <w:r>
        <w:tab/>
      </w:r>
      <w:r>
        <w:tab/>
        <w:t xml:space="preserve">      0</w:t>
      </w:r>
      <w:r>
        <w:tab/>
        <w:t xml:space="preserve">      0</w:t>
      </w:r>
      <w:r>
        <w:tab/>
        <w:t xml:space="preserve">        0</w:t>
      </w:r>
      <w:r>
        <w:tab/>
      </w:r>
      <w:r>
        <w:tab/>
        <w:t xml:space="preserve">        0</w:t>
      </w:r>
      <w:r>
        <w:tab/>
        <w:t xml:space="preserve">       0</w:t>
      </w:r>
      <w:r>
        <w:tab/>
        <w:t xml:space="preserve">     $11,190</w:t>
      </w:r>
    </w:p>
    <w:p w:rsidR="001A0881" w:rsidRDefault="001A0881" w:rsidP="001A0881"/>
    <w:p w:rsidR="001A0881" w:rsidRDefault="001A0881" w:rsidP="001A0881"/>
    <w:p w:rsidR="001A0881" w:rsidRPr="00B52B93" w:rsidRDefault="001A0881" w:rsidP="001A0881">
      <w:r>
        <w:rPr>
          <w:u w:val="single"/>
        </w:rPr>
        <w:t>Non-Personnel Decrease Cost Summary</w:t>
      </w:r>
      <w:r>
        <w:tab/>
      </w:r>
      <w:r>
        <w:tab/>
      </w:r>
      <w:r>
        <w:tab/>
      </w:r>
      <w:r>
        <w:tab/>
      </w:r>
      <w:r>
        <w:tab/>
        <w:t xml:space="preserve">      FY 2013 Net</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FY 2012  </w:t>
      </w:r>
      <w:r>
        <w:tab/>
        <w:t xml:space="preserve">     Annualization</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Pr>
          <w:u w:val="single"/>
        </w:rPr>
        <w:t>Item</w:t>
      </w:r>
      <w:r>
        <w:t xml:space="preserve">                      </w:t>
      </w:r>
      <w:r>
        <w:rPr>
          <w:u w:val="single"/>
        </w:rPr>
        <w:t>Unit</w:t>
      </w:r>
      <w:r>
        <w:t xml:space="preserve">                           </w:t>
      </w:r>
      <w:r>
        <w:rPr>
          <w:u w:val="single"/>
        </w:rPr>
        <w:t>Quantity</w:t>
      </w:r>
      <w:r>
        <w:t xml:space="preserve">                </w:t>
      </w:r>
      <w:r>
        <w:rPr>
          <w:u w:val="single"/>
        </w:rPr>
        <w:t>Request</w:t>
      </w:r>
      <w:r>
        <w:t xml:space="preserve">  </w:t>
      </w:r>
      <w:r>
        <w:tab/>
      </w:r>
      <w:r w:rsidRPr="00B52B93">
        <w:rPr>
          <w:u w:val="single"/>
        </w:rPr>
        <w:t>(change from 20</w:t>
      </w:r>
      <w:r>
        <w:rPr>
          <w:u w:val="single"/>
        </w:rPr>
        <w:t>12</w:t>
      </w:r>
      <w:r w:rsidRPr="00B52B93">
        <w:rPr>
          <w:u w:val="single"/>
        </w:rPr>
        <w:t>)</w:t>
      </w:r>
    </w:p>
    <w:p w:rsidR="001A0881" w:rsidRDefault="005D0E25"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Rescission </w:t>
      </w:r>
      <w:r w:rsidR="001A0881">
        <w:t>of</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Prior Years’</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Unobligated </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Balance</w:t>
      </w:r>
      <w:r>
        <w:tab/>
        <w:t xml:space="preserve">        n/a </w:t>
      </w:r>
      <w:r>
        <w:tab/>
      </w:r>
      <w:r>
        <w:tab/>
        <w:t xml:space="preserve">         n/a</w:t>
      </w:r>
      <w:r>
        <w:tab/>
        <w:t xml:space="preserve">        ($5,000)</w:t>
      </w:r>
      <w:r>
        <w:tab/>
        <w:t xml:space="preserve">     </w:t>
      </w:r>
      <w:r>
        <w:tab/>
        <w:t xml:space="preserve">           $0</w:t>
      </w:r>
    </w:p>
    <w:p w:rsidR="001A0881" w:rsidRDefault="001A0881" w:rsidP="001A0881"/>
    <w:p w:rsidR="001A0881" w:rsidRDefault="001A0881" w:rsidP="001A0881"/>
    <w:p w:rsidR="001A0881" w:rsidRDefault="001A0881" w:rsidP="001A0881"/>
    <w:p w:rsidR="001A0881" w:rsidRDefault="001A0881" w:rsidP="001A0881">
      <w:r>
        <w:rPr>
          <w:u w:val="single"/>
        </w:rPr>
        <w:t>Total Request for this Item</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w:t>
      </w:r>
      <w:r>
        <w:tab/>
      </w:r>
      <w:r>
        <w:tab/>
        <w:t>Non-</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                                  </w:t>
      </w:r>
      <w:r>
        <w:rPr>
          <w:u w:val="single"/>
        </w:rPr>
        <w:t>Pos</w:t>
      </w:r>
      <w:r>
        <w:t xml:space="preserve">.             </w:t>
      </w:r>
      <w:r>
        <w:rPr>
          <w:u w:val="single"/>
        </w:rPr>
        <w:t>FTE</w:t>
      </w:r>
      <w:r>
        <w:t xml:space="preserve">             </w:t>
      </w:r>
      <w:r>
        <w:rPr>
          <w:u w:val="single"/>
        </w:rPr>
        <w:t>Personnel</w:t>
      </w:r>
      <w:r>
        <w:t xml:space="preserve">              </w:t>
      </w:r>
      <w:r>
        <w:rPr>
          <w:u w:val="single"/>
        </w:rPr>
        <w:t>Personne</w:t>
      </w:r>
      <w:r>
        <w:t xml:space="preserve">l         </w:t>
      </w:r>
      <w:r>
        <w:tab/>
        <w:t xml:space="preserve">     </w:t>
      </w:r>
      <w:r>
        <w:rPr>
          <w:u w:val="single"/>
        </w:rPr>
        <w:t>Total</w:t>
      </w:r>
    </w:p>
    <w:p w:rsidR="001A0881" w:rsidRDefault="005D0E25" w:rsidP="001A0881">
      <w:r>
        <w:t>Rescission</w:t>
      </w:r>
      <w:r w:rsidR="001A0881">
        <w:t xml:space="preserve"> of</w:t>
      </w:r>
    </w:p>
    <w:p w:rsidR="001A0881" w:rsidRDefault="001A0881" w:rsidP="001A0881">
      <w:r>
        <w:t xml:space="preserve"> Unobligated Balance</w:t>
      </w:r>
      <w:r>
        <w:tab/>
        <w:t>0</w:t>
      </w:r>
      <w:r>
        <w:tab/>
        <w:t xml:space="preserve">        0</w:t>
      </w:r>
      <w:r>
        <w:tab/>
      </w:r>
      <w:r>
        <w:tab/>
        <w:t xml:space="preserve">       $0</w:t>
      </w:r>
      <w:r>
        <w:tab/>
      </w:r>
      <w:r>
        <w:tab/>
        <w:t xml:space="preserve">          (5,000)  </w:t>
      </w:r>
      <w:r>
        <w:tab/>
        <w:t xml:space="preserve"> </w:t>
      </w:r>
      <w:r>
        <w:tab/>
        <w:t xml:space="preserve">   (5,000)</w:t>
      </w:r>
    </w:p>
    <w:p w:rsidR="001A0881" w:rsidRDefault="001A0881" w:rsidP="001A0881"/>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Grand Total</w:t>
      </w:r>
    </w:p>
    <w:p w:rsidR="001A0881" w:rsidRDefault="005D0E25" w:rsidP="001A08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Rescission </w:t>
      </w:r>
      <w:r w:rsidR="001A0881">
        <w:t>from</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FCI Midwestern/</w:t>
      </w:r>
    </w:p>
    <w:p w:rsidR="001A0881" w:rsidRDefault="001A0881" w:rsidP="001A08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Leavenworth, KS            0</w:t>
      </w:r>
      <w:r>
        <w:tab/>
        <w:t xml:space="preserve">        0</w:t>
      </w:r>
      <w:r>
        <w:tab/>
      </w:r>
      <w:r>
        <w:tab/>
        <w:t xml:space="preserve">       $0</w:t>
      </w:r>
      <w:r>
        <w:tab/>
        <w:t xml:space="preserve">                     ($5,000)               ($5,000)</w:t>
      </w:r>
    </w:p>
    <w:p w:rsidR="001A0881" w:rsidRDefault="001A0881" w:rsidP="001A0881"/>
    <w:p w:rsidR="00BC5F6B" w:rsidRDefault="00BC5F6B" w:rsidP="00BC5F6B">
      <w:pPr>
        <w:rPr>
          <w:b/>
          <w:bCs/>
        </w:rPr>
      </w:pPr>
    </w:p>
    <w:sectPr w:rsidR="00BC5F6B" w:rsidSect="00F15595">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F7" w:rsidRDefault="00E773F7">
      <w:r>
        <w:separator/>
      </w:r>
    </w:p>
  </w:endnote>
  <w:endnote w:type="continuationSeparator" w:id="0">
    <w:p w:rsidR="00E773F7" w:rsidRDefault="00E773F7">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F7" w:rsidRDefault="004E420E" w:rsidP="00C84A3F">
    <w:pPr>
      <w:pStyle w:val="Footer"/>
      <w:framePr w:wrap="around" w:vAnchor="text" w:hAnchor="margin" w:xAlign="right" w:y="1"/>
      <w:rPr>
        <w:rStyle w:val="PageNumber"/>
      </w:rPr>
    </w:pPr>
    <w:r>
      <w:rPr>
        <w:rStyle w:val="PageNumber"/>
      </w:rPr>
      <w:fldChar w:fldCharType="begin"/>
    </w:r>
    <w:r w:rsidR="00E773F7">
      <w:rPr>
        <w:rStyle w:val="PageNumber"/>
      </w:rPr>
      <w:instrText xml:space="preserve">PAGE  </w:instrText>
    </w:r>
    <w:r>
      <w:rPr>
        <w:rStyle w:val="PageNumber"/>
      </w:rPr>
      <w:fldChar w:fldCharType="end"/>
    </w:r>
  </w:p>
  <w:p w:rsidR="00E773F7" w:rsidRDefault="00E773F7" w:rsidP="00EA62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F7" w:rsidRDefault="004E420E" w:rsidP="00C84A3F">
    <w:pPr>
      <w:pStyle w:val="Footer"/>
      <w:framePr w:wrap="around" w:vAnchor="text" w:hAnchor="margin" w:xAlign="right" w:y="1"/>
      <w:rPr>
        <w:rStyle w:val="PageNumber"/>
      </w:rPr>
    </w:pPr>
    <w:r>
      <w:rPr>
        <w:rStyle w:val="PageNumber"/>
      </w:rPr>
      <w:fldChar w:fldCharType="begin"/>
    </w:r>
    <w:r w:rsidR="00E773F7">
      <w:rPr>
        <w:rStyle w:val="PageNumber"/>
      </w:rPr>
      <w:instrText xml:space="preserve">PAGE  </w:instrText>
    </w:r>
    <w:r>
      <w:rPr>
        <w:rStyle w:val="PageNumber"/>
      </w:rPr>
      <w:fldChar w:fldCharType="separate"/>
    </w:r>
    <w:r w:rsidR="00AA7CF2">
      <w:rPr>
        <w:rStyle w:val="PageNumber"/>
        <w:noProof/>
      </w:rPr>
      <w:t>32</w:t>
    </w:r>
    <w:r>
      <w:rPr>
        <w:rStyle w:val="PageNumber"/>
      </w:rPr>
      <w:fldChar w:fldCharType="end"/>
    </w:r>
  </w:p>
  <w:p w:rsidR="00E773F7" w:rsidRDefault="00E773F7" w:rsidP="00EA626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F7" w:rsidRDefault="00E773F7">
    <w:pPr>
      <w:pStyle w:val="Footer"/>
    </w:pPr>
    <w:r>
      <w:t xml:space="preserve">                                                                                                                                            1</w:t>
    </w:r>
  </w:p>
  <w:p w:rsidR="00E773F7" w:rsidRDefault="00E77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F7" w:rsidRDefault="00E773F7">
      <w:r>
        <w:separator/>
      </w:r>
    </w:p>
  </w:footnote>
  <w:footnote w:type="continuationSeparator" w:id="0">
    <w:p w:rsidR="00E773F7" w:rsidRDefault="00E77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6A1D43"/>
    <w:multiLevelType w:val="hybridMultilevel"/>
    <w:tmpl w:val="1858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0B0F"/>
    <w:multiLevelType w:val="hybridMultilevel"/>
    <w:tmpl w:val="21F4D4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A36BA"/>
    <w:multiLevelType w:val="hybridMultilevel"/>
    <w:tmpl w:val="7C508476"/>
    <w:lvl w:ilvl="0" w:tplc="7FDA47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9522B"/>
    <w:multiLevelType w:val="hybridMultilevel"/>
    <w:tmpl w:val="3E1E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92D9B"/>
    <w:multiLevelType w:val="hybridMultilevel"/>
    <w:tmpl w:val="CE60B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C46811"/>
    <w:multiLevelType w:val="hybridMultilevel"/>
    <w:tmpl w:val="272082B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04520"/>
    <w:multiLevelType w:val="hybridMultilevel"/>
    <w:tmpl w:val="E702EFD2"/>
    <w:lvl w:ilvl="0" w:tplc="12943B6C">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0A0BE0"/>
    <w:multiLevelType w:val="hybridMultilevel"/>
    <w:tmpl w:val="7464AFEC"/>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367B1"/>
    <w:multiLevelType w:val="hybridMultilevel"/>
    <w:tmpl w:val="CA2CA420"/>
    <w:lvl w:ilvl="0" w:tplc="E26CF83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E53429"/>
    <w:multiLevelType w:val="hybridMultilevel"/>
    <w:tmpl w:val="A7666CDA"/>
    <w:lvl w:ilvl="0" w:tplc="D074A064">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6F6A47"/>
    <w:multiLevelType w:val="hybridMultilevel"/>
    <w:tmpl w:val="2B803B86"/>
    <w:lvl w:ilvl="0" w:tplc="77F6B26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6603D4"/>
    <w:multiLevelType w:val="hybridMultilevel"/>
    <w:tmpl w:val="6082E104"/>
    <w:lvl w:ilvl="0" w:tplc="B6661956">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3E3AA9"/>
    <w:multiLevelType w:val="hybridMultilevel"/>
    <w:tmpl w:val="8AA8ED0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63393"/>
    <w:multiLevelType w:val="hybridMultilevel"/>
    <w:tmpl w:val="4A4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0624F"/>
    <w:multiLevelType w:val="hybridMultilevel"/>
    <w:tmpl w:val="7F8C99E4"/>
    <w:lvl w:ilvl="0" w:tplc="5AAA9C60">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nsid w:val="579F40FF"/>
    <w:multiLevelType w:val="hybridMultilevel"/>
    <w:tmpl w:val="34F61D5A"/>
    <w:lvl w:ilvl="0" w:tplc="D3DC601C">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C3703A"/>
    <w:multiLevelType w:val="hybridMultilevel"/>
    <w:tmpl w:val="C98A3A32"/>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E5883"/>
    <w:multiLevelType w:val="hybridMultilevel"/>
    <w:tmpl w:val="905E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E0954"/>
    <w:multiLevelType w:val="hybridMultilevel"/>
    <w:tmpl w:val="C8FA944A"/>
    <w:lvl w:ilvl="0" w:tplc="17C0699A">
      <w:start w:val="22"/>
      <w:numFmt w:val="upp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25AA2"/>
    <w:multiLevelType w:val="hybridMultilevel"/>
    <w:tmpl w:val="A9A819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4567706"/>
    <w:multiLevelType w:val="hybridMultilevel"/>
    <w:tmpl w:val="4746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36547"/>
    <w:multiLevelType w:val="hybridMultilevel"/>
    <w:tmpl w:val="018A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F6AC5"/>
    <w:multiLevelType w:val="hybridMultilevel"/>
    <w:tmpl w:val="1EDE85A0"/>
    <w:lvl w:ilvl="0" w:tplc="C742DF04">
      <w:start w:val="1"/>
      <w:numFmt w:val="upperLetter"/>
      <w:lvlText w:val="%1."/>
      <w:lvlJc w:val="left"/>
      <w:pPr>
        <w:tabs>
          <w:tab w:val="num" w:pos="810"/>
        </w:tabs>
        <w:ind w:left="810" w:hanging="360"/>
      </w:pPr>
      <w:rPr>
        <w:rFonts w:hint="default"/>
        <w:b w:val="0"/>
      </w:rPr>
    </w:lvl>
    <w:lvl w:ilvl="1" w:tplc="595C81CC">
      <w:start w:val="1"/>
      <w:numFmt w:val="decimal"/>
      <w:lvlText w:val="%2."/>
      <w:lvlJc w:val="left"/>
      <w:pPr>
        <w:tabs>
          <w:tab w:val="num" w:pos="1440"/>
        </w:tabs>
        <w:ind w:left="1440" w:hanging="360"/>
      </w:pPr>
      <w:rPr>
        <w:rFonts w:ascii="Times New Roman" w:eastAsia="Times New Roman" w:hAnsi="Times New Roman" w:cs="Times New Roman"/>
        <w:b w:val="0"/>
      </w:rPr>
    </w:lvl>
    <w:lvl w:ilvl="2" w:tplc="7E00664C">
      <w:start w:val="1"/>
      <w:numFmt w:val="lowerLetter"/>
      <w:lvlText w:val="%3."/>
      <w:lvlJc w:val="left"/>
      <w:pPr>
        <w:tabs>
          <w:tab w:val="num" w:pos="2070"/>
        </w:tabs>
        <w:ind w:left="2070" w:hanging="360"/>
      </w:pPr>
      <w:rPr>
        <w:rFonts w:ascii="Times New Roman" w:eastAsia="Times New Roman" w:hAnsi="Times New Roman" w:cs="Times New Roman"/>
        <w:b w:val="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748601E4"/>
    <w:multiLevelType w:val="hybridMultilevel"/>
    <w:tmpl w:val="6AD6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72131"/>
    <w:multiLevelType w:val="hybridMultilevel"/>
    <w:tmpl w:val="2B30566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A928E2"/>
    <w:multiLevelType w:val="hybridMultilevel"/>
    <w:tmpl w:val="C3845BAA"/>
    <w:lvl w:ilvl="0" w:tplc="B758223C">
      <w:start w:val="22"/>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04293"/>
    <w:multiLevelType w:val="hybridMultilevel"/>
    <w:tmpl w:val="1C52C8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F26B07"/>
    <w:multiLevelType w:val="hybridMultilevel"/>
    <w:tmpl w:val="48984D8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053294"/>
    <w:multiLevelType w:val="hybridMultilevel"/>
    <w:tmpl w:val="E0022F24"/>
    <w:lvl w:ilvl="0" w:tplc="739EDB7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28"/>
  </w:num>
  <w:num w:numId="4">
    <w:abstractNumId w:val="23"/>
  </w:num>
  <w:num w:numId="5">
    <w:abstractNumId w:val="27"/>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9"/>
  </w:num>
  <w:num w:numId="12">
    <w:abstractNumId w:val="25"/>
  </w:num>
  <w:num w:numId="13">
    <w:abstractNumId w:val="10"/>
  </w:num>
  <w:num w:numId="14">
    <w:abstractNumId w:val="12"/>
  </w:num>
  <w:num w:numId="15">
    <w:abstractNumId w:val="6"/>
  </w:num>
  <w:num w:numId="16">
    <w:abstractNumId w:val="17"/>
  </w:num>
  <w:num w:numId="17">
    <w:abstractNumId w:val="7"/>
  </w:num>
  <w:num w:numId="18">
    <w:abstractNumId w:val="26"/>
  </w:num>
  <w:num w:numId="19">
    <w:abstractNumId w:val="19"/>
  </w:num>
  <w:num w:numId="20">
    <w:abstractNumId w:val="14"/>
  </w:num>
  <w:num w:numId="21">
    <w:abstractNumId w:val="8"/>
  </w:num>
  <w:num w:numId="22">
    <w:abstractNumId w:val="13"/>
  </w:num>
  <w:num w:numId="23">
    <w:abstractNumId w:val="1"/>
  </w:num>
  <w:num w:numId="24">
    <w:abstractNumId w:val="21"/>
  </w:num>
  <w:num w:numId="25">
    <w:abstractNumId w:val="18"/>
  </w:num>
  <w:num w:numId="26">
    <w:abstractNumId w:val="22"/>
  </w:num>
  <w:num w:numId="27">
    <w:abstractNumId w:val="3"/>
  </w:num>
  <w:num w:numId="28">
    <w:abstractNumId w:val="24"/>
  </w:num>
  <w:num w:numId="29">
    <w:abstractNumId w:val="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E21BF"/>
    <w:rsid w:val="00000E63"/>
    <w:rsid w:val="000016CF"/>
    <w:rsid w:val="0000293E"/>
    <w:rsid w:val="00004342"/>
    <w:rsid w:val="00004819"/>
    <w:rsid w:val="0000613A"/>
    <w:rsid w:val="000070B9"/>
    <w:rsid w:val="00007577"/>
    <w:rsid w:val="0001032C"/>
    <w:rsid w:val="00010E48"/>
    <w:rsid w:val="00010F31"/>
    <w:rsid w:val="000115FC"/>
    <w:rsid w:val="00020799"/>
    <w:rsid w:val="00022C08"/>
    <w:rsid w:val="00023AC7"/>
    <w:rsid w:val="00023B2E"/>
    <w:rsid w:val="00023C8C"/>
    <w:rsid w:val="00024463"/>
    <w:rsid w:val="0002446B"/>
    <w:rsid w:val="00025923"/>
    <w:rsid w:val="00026C72"/>
    <w:rsid w:val="00026F76"/>
    <w:rsid w:val="000312C5"/>
    <w:rsid w:val="00031DD2"/>
    <w:rsid w:val="00032DE9"/>
    <w:rsid w:val="000334C2"/>
    <w:rsid w:val="00035581"/>
    <w:rsid w:val="000368E5"/>
    <w:rsid w:val="00036F20"/>
    <w:rsid w:val="00037B3A"/>
    <w:rsid w:val="00044836"/>
    <w:rsid w:val="000455F9"/>
    <w:rsid w:val="00045C3F"/>
    <w:rsid w:val="00046525"/>
    <w:rsid w:val="000465B6"/>
    <w:rsid w:val="00050102"/>
    <w:rsid w:val="00051811"/>
    <w:rsid w:val="00056267"/>
    <w:rsid w:val="00056647"/>
    <w:rsid w:val="0005669D"/>
    <w:rsid w:val="00057548"/>
    <w:rsid w:val="000601E1"/>
    <w:rsid w:val="00061DBB"/>
    <w:rsid w:val="000644B1"/>
    <w:rsid w:val="00064E9A"/>
    <w:rsid w:val="00064FD4"/>
    <w:rsid w:val="00066691"/>
    <w:rsid w:val="00066864"/>
    <w:rsid w:val="00066A85"/>
    <w:rsid w:val="00066C9B"/>
    <w:rsid w:val="00067091"/>
    <w:rsid w:val="0006750F"/>
    <w:rsid w:val="00067EB2"/>
    <w:rsid w:val="00071F68"/>
    <w:rsid w:val="00072DC4"/>
    <w:rsid w:val="00073203"/>
    <w:rsid w:val="00074520"/>
    <w:rsid w:val="00075E1F"/>
    <w:rsid w:val="0007750E"/>
    <w:rsid w:val="000779D1"/>
    <w:rsid w:val="00081F0E"/>
    <w:rsid w:val="000820EE"/>
    <w:rsid w:val="00083892"/>
    <w:rsid w:val="00084771"/>
    <w:rsid w:val="000847FE"/>
    <w:rsid w:val="00084A0F"/>
    <w:rsid w:val="0008503A"/>
    <w:rsid w:val="00086364"/>
    <w:rsid w:val="000864F0"/>
    <w:rsid w:val="00087B17"/>
    <w:rsid w:val="00087EA4"/>
    <w:rsid w:val="00090710"/>
    <w:rsid w:val="00091AE4"/>
    <w:rsid w:val="00094184"/>
    <w:rsid w:val="00094E61"/>
    <w:rsid w:val="000969C1"/>
    <w:rsid w:val="00096BC4"/>
    <w:rsid w:val="00096F5C"/>
    <w:rsid w:val="000A074D"/>
    <w:rsid w:val="000A0CB9"/>
    <w:rsid w:val="000A1F11"/>
    <w:rsid w:val="000A51E3"/>
    <w:rsid w:val="000A5CEF"/>
    <w:rsid w:val="000A666D"/>
    <w:rsid w:val="000A770B"/>
    <w:rsid w:val="000B28D4"/>
    <w:rsid w:val="000B347F"/>
    <w:rsid w:val="000B3A49"/>
    <w:rsid w:val="000B4E35"/>
    <w:rsid w:val="000B5C3F"/>
    <w:rsid w:val="000B5E40"/>
    <w:rsid w:val="000B7837"/>
    <w:rsid w:val="000B7CC2"/>
    <w:rsid w:val="000B7D01"/>
    <w:rsid w:val="000C1799"/>
    <w:rsid w:val="000C253C"/>
    <w:rsid w:val="000C25AB"/>
    <w:rsid w:val="000C2B65"/>
    <w:rsid w:val="000C2C87"/>
    <w:rsid w:val="000C33DA"/>
    <w:rsid w:val="000C435D"/>
    <w:rsid w:val="000D2700"/>
    <w:rsid w:val="000D34C9"/>
    <w:rsid w:val="000D5531"/>
    <w:rsid w:val="000D5955"/>
    <w:rsid w:val="000D798F"/>
    <w:rsid w:val="000D79EA"/>
    <w:rsid w:val="000D7E98"/>
    <w:rsid w:val="000E0048"/>
    <w:rsid w:val="000E0A36"/>
    <w:rsid w:val="000E15B9"/>
    <w:rsid w:val="000E4174"/>
    <w:rsid w:val="000E4A6F"/>
    <w:rsid w:val="000E4A85"/>
    <w:rsid w:val="000E4DEC"/>
    <w:rsid w:val="000E5F90"/>
    <w:rsid w:val="000E612D"/>
    <w:rsid w:val="000F013D"/>
    <w:rsid w:val="000F0433"/>
    <w:rsid w:val="000F142C"/>
    <w:rsid w:val="000F227B"/>
    <w:rsid w:val="000F3BF6"/>
    <w:rsid w:val="000F3CBF"/>
    <w:rsid w:val="000F3D16"/>
    <w:rsid w:val="000F71EB"/>
    <w:rsid w:val="000F74ED"/>
    <w:rsid w:val="00100972"/>
    <w:rsid w:val="00101A6A"/>
    <w:rsid w:val="00102925"/>
    <w:rsid w:val="0010329A"/>
    <w:rsid w:val="00104D6C"/>
    <w:rsid w:val="00105E09"/>
    <w:rsid w:val="00110E74"/>
    <w:rsid w:val="00112378"/>
    <w:rsid w:val="001128AB"/>
    <w:rsid w:val="00112BEA"/>
    <w:rsid w:val="00115DA7"/>
    <w:rsid w:val="00116EE2"/>
    <w:rsid w:val="00117B2D"/>
    <w:rsid w:val="00123CFD"/>
    <w:rsid w:val="00123F38"/>
    <w:rsid w:val="0012593B"/>
    <w:rsid w:val="00125968"/>
    <w:rsid w:val="0012601B"/>
    <w:rsid w:val="0012619D"/>
    <w:rsid w:val="0013085A"/>
    <w:rsid w:val="00130C83"/>
    <w:rsid w:val="00130D85"/>
    <w:rsid w:val="0013200A"/>
    <w:rsid w:val="00132793"/>
    <w:rsid w:val="00134404"/>
    <w:rsid w:val="00134561"/>
    <w:rsid w:val="0013632F"/>
    <w:rsid w:val="00136AB9"/>
    <w:rsid w:val="00136E81"/>
    <w:rsid w:val="0014001E"/>
    <w:rsid w:val="001402BC"/>
    <w:rsid w:val="00144F63"/>
    <w:rsid w:val="0015029C"/>
    <w:rsid w:val="00150A73"/>
    <w:rsid w:val="00152CBE"/>
    <w:rsid w:val="001530EB"/>
    <w:rsid w:val="00153751"/>
    <w:rsid w:val="00160192"/>
    <w:rsid w:val="0016150E"/>
    <w:rsid w:val="00162254"/>
    <w:rsid w:val="00162370"/>
    <w:rsid w:val="001628A2"/>
    <w:rsid w:val="00162C03"/>
    <w:rsid w:val="0016341D"/>
    <w:rsid w:val="00163436"/>
    <w:rsid w:val="001635F7"/>
    <w:rsid w:val="0016584B"/>
    <w:rsid w:val="00166EF9"/>
    <w:rsid w:val="00167AAD"/>
    <w:rsid w:val="001709FC"/>
    <w:rsid w:val="00172F12"/>
    <w:rsid w:val="00173EC0"/>
    <w:rsid w:val="00174C6D"/>
    <w:rsid w:val="001759A7"/>
    <w:rsid w:val="00176A65"/>
    <w:rsid w:val="00177247"/>
    <w:rsid w:val="00180482"/>
    <w:rsid w:val="0018124D"/>
    <w:rsid w:val="00182873"/>
    <w:rsid w:val="001840FA"/>
    <w:rsid w:val="0018526F"/>
    <w:rsid w:val="00185458"/>
    <w:rsid w:val="00186487"/>
    <w:rsid w:val="00191425"/>
    <w:rsid w:val="00192328"/>
    <w:rsid w:val="0019266E"/>
    <w:rsid w:val="00196A61"/>
    <w:rsid w:val="001A0881"/>
    <w:rsid w:val="001A1993"/>
    <w:rsid w:val="001A2A03"/>
    <w:rsid w:val="001A2B95"/>
    <w:rsid w:val="001A2BF1"/>
    <w:rsid w:val="001A505D"/>
    <w:rsid w:val="001A7677"/>
    <w:rsid w:val="001B0623"/>
    <w:rsid w:val="001B3185"/>
    <w:rsid w:val="001B474D"/>
    <w:rsid w:val="001B5089"/>
    <w:rsid w:val="001B5C71"/>
    <w:rsid w:val="001B7C99"/>
    <w:rsid w:val="001C29C5"/>
    <w:rsid w:val="001C376E"/>
    <w:rsid w:val="001C388D"/>
    <w:rsid w:val="001C3B92"/>
    <w:rsid w:val="001C4198"/>
    <w:rsid w:val="001C45D8"/>
    <w:rsid w:val="001C47A7"/>
    <w:rsid w:val="001C64A2"/>
    <w:rsid w:val="001D1C45"/>
    <w:rsid w:val="001D26F2"/>
    <w:rsid w:val="001D283C"/>
    <w:rsid w:val="001D2B35"/>
    <w:rsid w:val="001D4CEE"/>
    <w:rsid w:val="001D65C7"/>
    <w:rsid w:val="001D6909"/>
    <w:rsid w:val="001E0464"/>
    <w:rsid w:val="001E1356"/>
    <w:rsid w:val="001E15D7"/>
    <w:rsid w:val="001E52C6"/>
    <w:rsid w:val="001E6F95"/>
    <w:rsid w:val="001E7988"/>
    <w:rsid w:val="001F26E4"/>
    <w:rsid w:val="001F36F7"/>
    <w:rsid w:val="001F45DC"/>
    <w:rsid w:val="001F47D5"/>
    <w:rsid w:val="001F5A94"/>
    <w:rsid w:val="001F5E41"/>
    <w:rsid w:val="001F63D5"/>
    <w:rsid w:val="001F68AE"/>
    <w:rsid w:val="002005C6"/>
    <w:rsid w:val="00201AFF"/>
    <w:rsid w:val="00201FD0"/>
    <w:rsid w:val="0020263E"/>
    <w:rsid w:val="00202E1C"/>
    <w:rsid w:val="00205211"/>
    <w:rsid w:val="00205926"/>
    <w:rsid w:val="0021046B"/>
    <w:rsid w:val="00210BB3"/>
    <w:rsid w:val="00211791"/>
    <w:rsid w:val="002132D0"/>
    <w:rsid w:val="0021396E"/>
    <w:rsid w:val="00213A78"/>
    <w:rsid w:val="00214DF3"/>
    <w:rsid w:val="00216590"/>
    <w:rsid w:val="002214EE"/>
    <w:rsid w:val="00222945"/>
    <w:rsid w:val="00222A8A"/>
    <w:rsid w:val="00222D16"/>
    <w:rsid w:val="00223731"/>
    <w:rsid w:val="0022409E"/>
    <w:rsid w:val="002257B8"/>
    <w:rsid w:val="00227516"/>
    <w:rsid w:val="0023197C"/>
    <w:rsid w:val="00231AB9"/>
    <w:rsid w:val="00233041"/>
    <w:rsid w:val="00234E0F"/>
    <w:rsid w:val="00234FCC"/>
    <w:rsid w:val="002354A0"/>
    <w:rsid w:val="002360B1"/>
    <w:rsid w:val="002360B8"/>
    <w:rsid w:val="002365DD"/>
    <w:rsid w:val="0023794F"/>
    <w:rsid w:val="00240EFB"/>
    <w:rsid w:val="00241993"/>
    <w:rsid w:val="00241C8F"/>
    <w:rsid w:val="00241CF0"/>
    <w:rsid w:val="00242500"/>
    <w:rsid w:val="002426A7"/>
    <w:rsid w:val="00246802"/>
    <w:rsid w:val="0025223A"/>
    <w:rsid w:val="002572E4"/>
    <w:rsid w:val="0026080C"/>
    <w:rsid w:val="00262B54"/>
    <w:rsid w:val="0026591C"/>
    <w:rsid w:val="002660E4"/>
    <w:rsid w:val="00267120"/>
    <w:rsid w:val="0026762F"/>
    <w:rsid w:val="00270A02"/>
    <w:rsid w:val="002748C2"/>
    <w:rsid w:val="00274D72"/>
    <w:rsid w:val="0027529E"/>
    <w:rsid w:val="00275855"/>
    <w:rsid w:val="00280323"/>
    <w:rsid w:val="00283484"/>
    <w:rsid w:val="002836AC"/>
    <w:rsid w:val="002840D7"/>
    <w:rsid w:val="00284368"/>
    <w:rsid w:val="0028439C"/>
    <w:rsid w:val="00284EEC"/>
    <w:rsid w:val="002856F0"/>
    <w:rsid w:val="0028595B"/>
    <w:rsid w:val="0028699F"/>
    <w:rsid w:val="0028739E"/>
    <w:rsid w:val="00292933"/>
    <w:rsid w:val="002936E4"/>
    <w:rsid w:val="00293C66"/>
    <w:rsid w:val="00294336"/>
    <w:rsid w:val="00294D92"/>
    <w:rsid w:val="00295C4A"/>
    <w:rsid w:val="002966FA"/>
    <w:rsid w:val="00297522"/>
    <w:rsid w:val="002A019E"/>
    <w:rsid w:val="002A1CBF"/>
    <w:rsid w:val="002A31D5"/>
    <w:rsid w:val="002A4A21"/>
    <w:rsid w:val="002A6023"/>
    <w:rsid w:val="002A66A9"/>
    <w:rsid w:val="002A6753"/>
    <w:rsid w:val="002A7DCE"/>
    <w:rsid w:val="002B0F4A"/>
    <w:rsid w:val="002B1F37"/>
    <w:rsid w:val="002B33EC"/>
    <w:rsid w:val="002B4DA9"/>
    <w:rsid w:val="002B715D"/>
    <w:rsid w:val="002C2FDF"/>
    <w:rsid w:val="002C4502"/>
    <w:rsid w:val="002C4D00"/>
    <w:rsid w:val="002C6788"/>
    <w:rsid w:val="002C68A3"/>
    <w:rsid w:val="002C7496"/>
    <w:rsid w:val="002C7860"/>
    <w:rsid w:val="002C7FD1"/>
    <w:rsid w:val="002D0771"/>
    <w:rsid w:val="002D1020"/>
    <w:rsid w:val="002D22E4"/>
    <w:rsid w:val="002D26E1"/>
    <w:rsid w:val="002D3D20"/>
    <w:rsid w:val="002D4946"/>
    <w:rsid w:val="002D6555"/>
    <w:rsid w:val="002D7B09"/>
    <w:rsid w:val="002E0C4E"/>
    <w:rsid w:val="002E13A4"/>
    <w:rsid w:val="002E1505"/>
    <w:rsid w:val="002E24CC"/>
    <w:rsid w:val="002E2825"/>
    <w:rsid w:val="002E37FA"/>
    <w:rsid w:val="002E419C"/>
    <w:rsid w:val="002E4C37"/>
    <w:rsid w:val="002E4D07"/>
    <w:rsid w:val="002E64E0"/>
    <w:rsid w:val="002E7D68"/>
    <w:rsid w:val="002F009D"/>
    <w:rsid w:val="002F04A5"/>
    <w:rsid w:val="002F0660"/>
    <w:rsid w:val="002F0A14"/>
    <w:rsid w:val="002F1C44"/>
    <w:rsid w:val="002F1EE2"/>
    <w:rsid w:val="002F21FE"/>
    <w:rsid w:val="002F2C8C"/>
    <w:rsid w:val="002F3197"/>
    <w:rsid w:val="002F4410"/>
    <w:rsid w:val="002F631B"/>
    <w:rsid w:val="002F72C2"/>
    <w:rsid w:val="00300CF6"/>
    <w:rsid w:val="00302E7B"/>
    <w:rsid w:val="00303624"/>
    <w:rsid w:val="00303656"/>
    <w:rsid w:val="003038C9"/>
    <w:rsid w:val="00303917"/>
    <w:rsid w:val="00303D04"/>
    <w:rsid w:val="00312091"/>
    <w:rsid w:val="00315D27"/>
    <w:rsid w:val="00317C27"/>
    <w:rsid w:val="00320AD9"/>
    <w:rsid w:val="003213BA"/>
    <w:rsid w:val="003224DB"/>
    <w:rsid w:val="00322C71"/>
    <w:rsid w:val="00322EA7"/>
    <w:rsid w:val="003245A6"/>
    <w:rsid w:val="00326478"/>
    <w:rsid w:val="00326AB4"/>
    <w:rsid w:val="00327623"/>
    <w:rsid w:val="00331EBE"/>
    <w:rsid w:val="003324E3"/>
    <w:rsid w:val="00332E2F"/>
    <w:rsid w:val="00335891"/>
    <w:rsid w:val="00336529"/>
    <w:rsid w:val="003416A8"/>
    <w:rsid w:val="00344A5F"/>
    <w:rsid w:val="00344D2C"/>
    <w:rsid w:val="00347862"/>
    <w:rsid w:val="00347AE6"/>
    <w:rsid w:val="00350E80"/>
    <w:rsid w:val="00352618"/>
    <w:rsid w:val="003542B3"/>
    <w:rsid w:val="00355310"/>
    <w:rsid w:val="00355CD7"/>
    <w:rsid w:val="00360431"/>
    <w:rsid w:val="00361D2B"/>
    <w:rsid w:val="00361FC0"/>
    <w:rsid w:val="00363EC4"/>
    <w:rsid w:val="00363F4E"/>
    <w:rsid w:val="00364950"/>
    <w:rsid w:val="00364B99"/>
    <w:rsid w:val="00364EA8"/>
    <w:rsid w:val="003661D9"/>
    <w:rsid w:val="00367028"/>
    <w:rsid w:val="00372016"/>
    <w:rsid w:val="00372A7B"/>
    <w:rsid w:val="0037427D"/>
    <w:rsid w:val="0037518B"/>
    <w:rsid w:val="00375AF0"/>
    <w:rsid w:val="00380047"/>
    <w:rsid w:val="00381B29"/>
    <w:rsid w:val="00381E61"/>
    <w:rsid w:val="003824C6"/>
    <w:rsid w:val="00384D0E"/>
    <w:rsid w:val="00387DF0"/>
    <w:rsid w:val="003927DE"/>
    <w:rsid w:val="0039401F"/>
    <w:rsid w:val="00396768"/>
    <w:rsid w:val="00396929"/>
    <w:rsid w:val="003A063F"/>
    <w:rsid w:val="003A30F0"/>
    <w:rsid w:val="003A3FBD"/>
    <w:rsid w:val="003A4143"/>
    <w:rsid w:val="003A4BE4"/>
    <w:rsid w:val="003A67D5"/>
    <w:rsid w:val="003A716B"/>
    <w:rsid w:val="003A7824"/>
    <w:rsid w:val="003A7BFF"/>
    <w:rsid w:val="003B0D83"/>
    <w:rsid w:val="003B1610"/>
    <w:rsid w:val="003B16B8"/>
    <w:rsid w:val="003B18CB"/>
    <w:rsid w:val="003B1D21"/>
    <w:rsid w:val="003B7505"/>
    <w:rsid w:val="003C05CE"/>
    <w:rsid w:val="003C08BC"/>
    <w:rsid w:val="003C2DFA"/>
    <w:rsid w:val="003C36D0"/>
    <w:rsid w:val="003C393A"/>
    <w:rsid w:val="003C6845"/>
    <w:rsid w:val="003D4D17"/>
    <w:rsid w:val="003D5353"/>
    <w:rsid w:val="003D5B86"/>
    <w:rsid w:val="003E1C1B"/>
    <w:rsid w:val="003E33D6"/>
    <w:rsid w:val="003E3756"/>
    <w:rsid w:val="003E577A"/>
    <w:rsid w:val="003F018A"/>
    <w:rsid w:val="003F03A3"/>
    <w:rsid w:val="003F2D51"/>
    <w:rsid w:val="003F3EC9"/>
    <w:rsid w:val="003F4168"/>
    <w:rsid w:val="003F7181"/>
    <w:rsid w:val="00401C19"/>
    <w:rsid w:val="00401D09"/>
    <w:rsid w:val="0040276F"/>
    <w:rsid w:val="00403D91"/>
    <w:rsid w:val="00404902"/>
    <w:rsid w:val="00404B9E"/>
    <w:rsid w:val="00407892"/>
    <w:rsid w:val="004105BE"/>
    <w:rsid w:val="0041157D"/>
    <w:rsid w:val="00411BF9"/>
    <w:rsid w:val="00412101"/>
    <w:rsid w:val="00413BFE"/>
    <w:rsid w:val="00417AFE"/>
    <w:rsid w:val="00420A0D"/>
    <w:rsid w:val="00420A8D"/>
    <w:rsid w:val="004218E3"/>
    <w:rsid w:val="004228B7"/>
    <w:rsid w:val="004236BC"/>
    <w:rsid w:val="004257F1"/>
    <w:rsid w:val="004266B4"/>
    <w:rsid w:val="0042678F"/>
    <w:rsid w:val="00430534"/>
    <w:rsid w:val="004337CC"/>
    <w:rsid w:val="00434B85"/>
    <w:rsid w:val="00434CB7"/>
    <w:rsid w:val="00435A54"/>
    <w:rsid w:val="0043633E"/>
    <w:rsid w:val="0043709C"/>
    <w:rsid w:val="00440027"/>
    <w:rsid w:val="00441A04"/>
    <w:rsid w:val="004425DB"/>
    <w:rsid w:val="0044267C"/>
    <w:rsid w:val="00442857"/>
    <w:rsid w:val="00442F44"/>
    <w:rsid w:val="0044398D"/>
    <w:rsid w:val="0044507E"/>
    <w:rsid w:val="00445EED"/>
    <w:rsid w:val="0045112C"/>
    <w:rsid w:val="00451B96"/>
    <w:rsid w:val="00452196"/>
    <w:rsid w:val="004538B6"/>
    <w:rsid w:val="00454A0D"/>
    <w:rsid w:val="00457969"/>
    <w:rsid w:val="004622A9"/>
    <w:rsid w:val="00463388"/>
    <w:rsid w:val="004637EE"/>
    <w:rsid w:val="00463891"/>
    <w:rsid w:val="00463F37"/>
    <w:rsid w:val="00464C35"/>
    <w:rsid w:val="00464DE1"/>
    <w:rsid w:val="00465F46"/>
    <w:rsid w:val="00470AA0"/>
    <w:rsid w:val="0047114A"/>
    <w:rsid w:val="004741A0"/>
    <w:rsid w:val="004750AC"/>
    <w:rsid w:val="00475613"/>
    <w:rsid w:val="00477BB3"/>
    <w:rsid w:val="00480A92"/>
    <w:rsid w:val="0048341E"/>
    <w:rsid w:val="00483C67"/>
    <w:rsid w:val="00484DBE"/>
    <w:rsid w:val="00485272"/>
    <w:rsid w:val="004862E2"/>
    <w:rsid w:val="004867BD"/>
    <w:rsid w:val="0048719A"/>
    <w:rsid w:val="00487DF3"/>
    <w:rsid w:val="0049310F"/>
    <w:rsid w:val="00493C23"/>
    <w:rsid w:val="00494DAC"/>
    <w:rsid w:val="00495614"/>
    <w:rsid w:val="00496CD3"/>
    <w:rsid w:val="00496FEE"/>
    <w:rsid w:val="0049723C"/>
    <w:rsid w:val="004A1038"/>
    <w:rsid w:val="004A3F82"/>
    <w:rsid w:val="004A7476"/>
    <w:rsid w:val="004A750B"/>
    <w:rsid w:val="004A75FF"/>
    <w:rsid w:val="004A79A9"/>
    <w:rsid w:val="004B20E1"/>
    <w:rsid w:val="004B2AD3"/>
    <w:rsid w:val="004B33AC"/>
    <w:rsid w:val="004B3424"/>
    <w:rsid w:val="004B3530"/>
    <w:rsid w:val="004B42DC"/>
    <w:rsid w:val="004B58A8"/>
    <w:rsid w:val="004B77E5"/>
    <w:rsid w:val="004C0E31"/>
    <w:rsid w:val="004C1622"/>
    <w:rsid w:val="004C1AE2"/>
    <w:rsid w:val="004C222C"/>
    <w:rsid w:val="004C2B16"/>
    <w:rsid w:val="004C2DC5"/>
    <w:rsid w:val="004C3903"/>
    <w:rsid w:val="004C53BC"/>
    <w:rsid w:val="004C5C81"/>
    <w:rsid w:val="004C7E55"/>
    <w:rsid w:val="004D075F"/>
    <w:rsid w:val="004D0D39"/>
    <w:rsid w:val="004D2083"/>
    <w:rsid w:val="004D35A7"/>
    <w:rsid w:val="004D3CF1"/>
    <w:rsid w:val="004D3D2F"/>
    <w:rsid w:val="004D71A5"/>
    <w:rsid w:val="004D758C"/>
    <w:rsid w:val="004D781A"/>
    <w:rsid w:val="004D7E87"/>
    <w:rsid w:val="004E0F38"/>
    <w:rsid w:val="004E13BD"/>
    <w:rsid w:val="004E190C"/>
    <w:rsid w:val="004E22B1"/>
    <w:rsid w:val="004E26FC"/>
    <w:rsid w:val="004E398A"/>
    <w:rsid w:val="004E3C5E"/>
    <w:rsid w:val="004E420E"/>
    <w:rsid w:val="004E5259"/>
    <w:rsid w:val="004E5BAE"/>
    <w:rsid w:val="004E68FA"/>
    <w:rsid w:val="004F5EFE"/>
    <w:rsid w:val="004F73B6"/>
    <w:rsid w:val="0050058F"/>
    <w:rsid w:val="00501636"/>
    <w:rsid w:val="005042D7"/>
    <w:rsid w:val="00511019"/>
    <w:rsid w:val="005121A6"/>
    <w:rsid w:val="005136FE"/>
    <w:rsid w:val="0052074E"/>
    <w:rsid w:val="00521CB3"/>
    <w:rsid w:val="005221D5"/>
    <w:rsid w:val="0052362B"/>
    <w:rsid w:val="005316E5"/>
    <w:rsid w:val="00533731"/>
    <w:rsid w:val="00535AD8"/>
    <w:rsid w:val="0053776E"/>
    <w:rsid w:val="005401A1"/>
    <w:rsid w:val="00540A21"/>
    <w:rsid w:val="005442EC"/>
    <w:rsid w:val="0054451A"/>
    <w:rsid w:val="00545CF9"/>
    <w:rsid w:val="00546482"/>
    <w:rsid w:val="00546E56"/>
    <w:rsid w:val="00550218"/>
    <w:rsid w:val="00551176"/>
    <w:rsid w:val="0055168C"/>
    <w:rsid w:val="005525E7"/>
    <w:rsid w:val="00555CFC"/>
    <w:rsid w:val="0055635B"/>
    <w:rsid w:val="00556D7C"/>
    <w:rsid w:val="00556F0D"/>
    <w:rsid w:val="00560675"/>
    <w:rsid w:val="00563137"/>
    <w:rsid w:val="005640A4"/>
    <w:rsid w:val="00565B37"/>
    <w:rsid w:val="00565E84"/>
    <w:rsid w:val="005664C5"/>
    <w:rsid w:val="00567D76"/>
    <w:rsid w:val="00570B3F"/>
    <w:rsid w:val="005729D1"/>
    <w:rsid w:val="00573B2B"/>
    <w:rsid w:val="005751BC"/>
    <w:rsid w:val="0057656C"/>
    <w:rsid w:val="00581115"/>
    <w:rsid w:val="00581E98"/>
    <w:rsid w:val="00581EBA"/>
    <w:rsid w:val="005863F5"/>
    <w:rsid w:val="00591FD2"/>
    <w:rsid w:val="00592EF2"/>
    <w:rsid w:val="00593F46"/>
    <w:rsid w:val="00594307"/>
    <w:rsid w:val="00597AEB"/>
    <w:rsid w:val="005A0E48"/>
    <w:rsid w:val="005A31FE"/>
    <w:rsid w:val="005A33FC"/>
    <w:rsid w:val="005A58A2"/>
    <w:rsid w:val="005A62E6"/>
    <w:rsid w:val="005A7775"/>
    <w:rsid w:val="005B00C2"/>
    <w:rsid w:val="005B1192"/>
    <w:rsid w:val="005B1E7F"/>
    <w:rsid w:val="005B38BC"/>
    <w:rsid w:val="005B3F85"/>
    <w:rsid w:val="005B6F83"/>
    <w:rsid w:val="005B7501"/>
    <w:rsid w:val="005B7F75"/>
    <w:rsid w:val="005C0FD9"/>
    <w:rsid w:val="005C496F"/>
    <w:rsid w:val="005C5998"/>
    <w:rsid w:val="005C5CA2"/>
    <w:rsid w:val="005C61BE"/>
    <w:rsid w:val="005C6E67"/>
    <w:rsid w:val="005C7503"/>
    <w:rsid w:val="005D0E25"/>
    <w:rsid w:val="005D474E"/>
    <w:rsid w:val="005D7281"/>
    <w:rsid w:val="005E240C"/>
    <w:rsid w:val="005E275F"/>
    <w:rsid w:val="005E33E6"/>
    <w:rsid w:val="005E4306"/>
    <w:rsid w:val="005E4DA4"/>
    <w:rsid w:val="005E4EBB"/>
    <w:rsid w:val="005E57BB"/>
    <w:rsid w:val="005E660C"/>
    <w:rsid w:val="005E68A5"/>
    <w:rsid w:val="005F08A2"/>
    <w:rsid w:val="005F267F"/>
    <w:rsid w:val="005F4934"/>
    <w:rsid w:val="005F531E"/>
    <w:rsid w:val="005F6206"/>
    <w:rsid w:val="0060080F"/>
    <w:rsid w:val="00605F76"/>
    <w:rsid w:val="0060646C"/>
    <w:rsid w:val="00607B1C"/>
    <w:rsid w:val="00611A1F"/>
    <w:rsid w:val="00611F30"/>
    <w:rsid w:val="0061244C"/>
    <w:rsid w:val="00613283"/>
    <w:rsid w:val="006148B9"/>
    <w:rsid w:val="00615FD0"/>
    <w:rsid w:val="00617BB9"/>
    <w:rsid w:val="0062050D"/>
    <w:rsid w:val="00620BA7"/>
    <w:rsid w:val="006211CF"/>
    <w:rsid w:val="00622B9D"/>
    <w:rsid w:val="00622C49"/>
    <w:rsid w:val="00623436"/>
    <w:rsid w:val="00624F35"/>
    <w:rsid w:val="006261E4"/>
    <w:rsid w:val="00627805"/>
    <w:rsid w:val="006306BE"/>
    <w:rsid w:val="00630769"/>
    <w:rsid w:val="006324CA"/>
    <w:rsid w:val="006377A7"/>
    <w:rsid w:val="006404AD"/>
    <w:rsid w:val="00641AC0"/>
    <w:rsid w:val="00643016"/>
    <w:rsid w:val="00647014"/>
    <w:rsid w:val="0064782D"/>
    <w:rsid w:val="00650795"/>
    <w:rsid w:val="006519FE"/>
    <w:rsid w:val="006527DD"/>
    <w:rsid w:val="00652B3C"/>
    <w:rsid w:val="006622F3"/>
    <w:rsid w:val="006626AF"/>
    <w:rsid w:val="006628A5"/>
    <w:rsid w:val="00663747"/>
    <w:rsid w:val="0066376F"/>
    <w:rsid w:val="00663DF5"/>
    <w:rsid w:val="00665309"/>
    <w:rsid w:val="00665885"/>
    <w:rsid w:val="00671CFC"/>
    <w:rsid w:val="00671F7A"/>
    <w:rsid w:val="00672F39"/>
    <w:rsid w:val="00673856"/>
    <w:rsid w:val="00675DAE"/>
    <w:rsid w:val="0068246F"/>
    <w:rsid w:val="006834B7"/>
    <w:rsid w:val="00685AF7"/>
    <w:rsid w:val="00686221"/>
    <w:rsid w:val="00691459"/>
    <w:rsid w:val="006936E3"/>
    <w:rsid w:val="0069431D"/>
    <w:rsid w:val="00696038"/>
    <w:rsid w:val="00697FB6"/>
    <w:rsid w:val="006A038E"/>
    <w:rsid w:val="006A2BE3"/>
    <w:rsid w:val="006A35EA"/>
    <w:rsid w:val="006B0114"/>
    <w:rsid w:val="006B05FB"/>
    <w:rsid w:val="006B20FD"/>
    <w:rsid w:val="006B367B"/>
    <w:rsid w:val="006B4865"/>
    <w:rsid w:val="006B5D42"/>
    <w:rsid w:val="006B63AE"/>
    <w:rsid w:val="006B688F"/>
    <w:rsid w:val="006B7100"/>
    <w:rsid w:val="006C0559"/>
    <w:rsid w:val="006C17AC"/>
    <w:rsid w:val="006C2C80"/>
    <w:rsid w:val="006C5CA2"/>
    <w:rsid w:val="006C70A4"/>
    <w:rsid w:val="006D14A7"/>
    <w:rsid w:val="006D373A"/>
    <w:rsid w:val="006D38F1"/>
    <w:rsid w:val="006D42C1"/>
    <w:rsid w:val="006D4AAB"/>
    <w:rsid w:val="006D63B5"/>
    <w:rsid w:val="006E01F1"/>
    <w:rsid w:val="006E0A6F"/>
    <w:rsid w:val="006F3F88"/>
    <w:rsid w:val="006F6CED"/>
    <w:rsid w:val="006F70E7"/>
    <w:rsid w:val="006F727D"/>
    <w:rsid w:val="006F7614"/>
    <w:rsid w:val="007017C0"/>
    <w:rsid w:val="00701A60"/>
    <w:rsid w:val="00701AED"/>
    <w:rsid w:val="00704D38"/>
    <w:rsid w:val="00707DE8"/>
    <w:rsid w:val="00713FE7"/>
    <w:rsid w:val="0071624D"/>
    <w:rsid w:val="0071701A"/>
    <w:rsid w:val="0072168B"/>
    <w:rsid w:val="00722437"/>
    <w:rsid w:val="0072480B"/>
    <w:rsid w:val="007266BE"/>
    <w:rsid w:val="007304C9"/>
    <w:rsid w:val="00734AB1"/>
    <w:rsid w:val="00735378"/>
    <w:rsid w:val="00735A20"/>
    <w:rsid w:val="00740247"/>
    <w:rsid w:val="00741A25"/>
    <w:rsid w:val="00742140"/>
    <w:rsid w:val="00742221"/>
    <w:rsid w:val="007422DE"/>
    <w:rsid w:val="00745F6E"/>
    <w:rsid w:val="0074649C"/>
    <w:rsid w:val="007476F0"/>
    <w:rsid w:val="00750B5C"/>
    <w:rsid w:val="00750FFA"/>
    <w:rsid w:val="007514B9"/>
    <w:rsid w:val="007517BA"/>
    <w:rsid w:val="00756C16"/>
    <w:rsid w:val="007632F6"/>
    <w:rsid w:val="00764BA5"/>
    <w:rsid w:val="00765E98"/>
    <w:rsid w:val="00767B6A"/>
    <w:rsid w:val="00767E18"/>
    <w:rsid w:val="007728C0"/>
    <w:rsid w:val="00773D86"/>
    <w:rsid w:val="00776F94"/>
    <w:rsid w:val="00777B87"/>
    <w:rsid w:val="00780E7E"/>
    <w:rsid w:val="00780EDC"/>
    <w:rsid w:val="00781313"/>
    <w:rsid w:val="0078143D"/>
    <w:rsid w:val="007816C7"/>
    <w:rsid w:val="00781DEA"/>
    <w:rsid w:val="00781FED"/>
    <w:rsid w:val="00783B6A"/>
    <w:rsid w:val="0078482D"/>
    <w:rsid w:val="00785694"/>
    <w:rsid w:val="0078658B"/>
    <w:rsid w:val="0079107B"/>
    <w:rsid w:val="00794B21"/>
    <w:rsid w:val="007A1E86"/>
    <w:rsid w:val="007A202E"/>
    <w:rsid w:val="007A2E3A"/>
    <w:rsid w:val="007A417F"/>
    <w:rsid w:val="007A44DB"/>
    <w:rsid w:val="007B0D92"/>
    <w:rsid w:val="007B1E02"/>
    <w:rsid w:val="007B1EF3"/>
    <w:rsid w:val="007B2AB3"/>
    <w:rsid w:val="007B2EC2"/>
    <w:rsid w:val="007B6866"/>
    <w:rsid w:val="007C0F02"/>
    <w:rsid w:val="007C1CA1"/>
    <w:rsid w:val="007C690B"/>
    <w:rsid w:val="007C6BBE"/>
    <w:rsid w:val="007C6E63"/>
    <w:rsid w:val="007C6EB9"/>
    <w:rsid w:val="007D06A8"/>
    <w:rsid w:val="007D0CED"/>
    <w:rsid w:val="007D1300"/>
    <w:rsid w:val="007D140D"/>
    <w:rsid w:val="007D7A60"/>
    <w:rsid w:val="007D7E74"/>
    <w:rsid w:val="007E1B85"/>
    <w:rsid w:val="007E21BF"/>
    <w:rsid w:val="007E2883"/>
    <w:rsid w:val="007E2A20"/>
    <w:rsid w:val="007E2C22"/>
    <w:rsid w:val="007E2C38"/>
    <w:rsid w:val="007E346D"/>
    <w:rsid w:val="007E3D08"/>
    <w:rsid w:val="007E3E6B"/>
    <w:rsid w:val="007E4015"/>
    <w:rsid w:val="007E40BA"/>
    <w:rsid w:val="007E491D"/>
    <w:rsid w:val="007E5227"/>
    <w:rsid w:val="007E5892"/>
    <w:rsid w:val="007E6418"/>
    <w:rsid w:val="007E6591"/>
    <w:rsid w:val="007F0EBE"/>
    <w:rsid w:val="007F1726"/>
    <w:rsid w:val="007F17D1"/>
    <w:rsid w:val="007F3524"/>
    <w:rsid w:val="007F3882"/>
    <w:rsid w:val="007F4983"/>
    <w:rsid w:val="007F5DF8"/>
    <w:rsid w:val="007F5E31"/>
    <w:rsid w:val="007F7735"/>
    <w:rsid w:val="00800650"/>
    <w:rsid w:val="00801AEF"/>
    <w:rsid w:val="00801E63"/>
    <w:rsid w:val="008028BC"/>
    <w:rsid w:val="00802FBB"/>
    <w:rsid w:val="00804E4A"/>
    <w:rsid w:val="00805464"/>
    <w:rsid w:val="00805BD3"/>
    <w:rsid w:val="00807EBA"/>
    <w:rsid w:val="00810F2C"/>
    <w:rsid w:val="00812E45"/>
    <w:rsid w:val="00813D1F"/>
    <w:rsid w:val="00813E82"/>
    <w:rsid w:val="008153EB"/>
    <w:rsid w:val="00817366"/>
    <w:rsid w:val="00820523"/>
    <w:rsid w:val="00820BCB"/>
    <w:rsid w:val="00824487"/>
    <w:rsid w:val="00824CB0"/>
    <w:rsid w:val="00824E63"/>
    <w:rsid w:val="008258F0"/>
    <w:rsid w:val="00826118"/>
    <w:rsid w:val="00827D62"/>
    <w:rsid w:val="00830C14"/>
    <w:rsid w:val="0083107E"/>
    <w:rsid w:val="0083146F"/>
    <w:rsid w:val="00831E8C"/>
    <w:rsid w:val="00832420"/>
    <w:rsid w:val="00832F80"/>
    <w:rsid w:val="0083331D"/>
    <w:rsid w:val="00834850"/>
    <w:rsid w:val="00841063"/>
    <w:rsid w:val="0084298E"/>
    <w:rsid w:val="008442F3"/>
    <w:rsid w:val="00844473"/>
    <w:rsid w:val="008445F1"/>
    <w:rsid w:val="00844923"/>
    <w:rsid w:val="00844E7C"/>
    <w:rsid w:val="00845EAF"/>
    <w:rsid w:val="00846558"/>
    <w:rsid w:val="00851AAF"/>
    <w:rsid w:val="00851C79"/>
    <w:rsid w:val="00855571"/>
    <w:rsid w:val="00855F1F"/>
    <w:rsid w:val="00857179"/>
    <w:rsid w:val="008575E5"/>
    <w:rsid w:val="00857897"/>
    <w:rsid w:val="008578E7"/>
    <w:rsid w:val="00857A86"/>
    <w:rsid w:val="00857FF5"/>
    <w:rsid w:val="00860059"/>
    <w:rsid w:val="008602D4"/>
    <w:rsid w:val="0086097C"/>
    <w:rsid w:val="0086352B"/>
    <w:rsid w:val="00865342"/>
    <w:rsid w:val="00865FEC"/>
    <w:rsid w:val="00867C21"/>
    <w:rsid w:val="00871540"/>
    <w:rsid w:val="0087206A"/>
    <w:rsid w:val="00873848"/>
    <w:rsid w:val="008743B0"/>
    <w:rsid w:val="00875EFC"/>
    <w:rsid w:val="00877531"/>
    <w:rsid w:val="0087791C"/>
    <w:rsid w:val="00877B88"/>
    <w:rsid w:val="00880B06"/>
    <w:rsid w:val="00882510"/>
    <w:rsid w:val="00882A00"/>
    <w:rsid w:val="00885131"/>
    <w:rsid w:val="00885974"/>
    <w:rsid w:val="008862BA"/>
    <w:rsid w:val="00886519"/>
    <w:rsid w:val="008901D3"/>
    <w:rsid w:val="008906BE"/>
    <w:rsid w:val="00891061"/>
    <w:rsid w:val="008911EA"/>
    <w:rsid w:val="00891E69"/>
    <w:rsid w:val="00893840"/>
    <w:rsid w:val="0089650C"/>
    <w:rsid w:val="00896EF1"/>
    <w:rsid w:val="008973A9"/>
    <w:rsid w:val="0089797A"/>
    <w:rsid w:val="00897A8D"/>
    <w:rsid w:val="00897AC2"/>
    <w:rsid w:val="008A0269"/>
    <w:rsid w:val="008A058D"/>
    <w:rsid w:val="008A3995"/>
    <w:rsid w:val="008A4171"/>
    <w:rsid w:val="008A4EF2"/>
    <w:rsid w:val="008A603D"/>
    <w:rsid w:val="008A73E5"/>
    <w:rsid w:val="008A7EE2"/>
    <w:rsid w:val="008B0A99"/>
    <w:rsid w:val="008B10B4"/>
    <w:rsid w:val="008B2434"/>
    <w:rsid w:val="008B2820"/>
    <w:rsid w:val="008B2885"/>
    <w:rsid w:val="008B3E84"/>
    <w:rsid w:val="008B5AC4"/>
    <w:rsid w:val="008B62AE"/>
    <w:rsid w:val="008C04C1"/>
    <w:rsid w:val="008C05EA"/>
    <w:rsid w:val="008C0636"/>
    <w:rsid w:val="008C0CAC"/>
    <w:rsid w:val="008C4A14"/>
    <w:rsid w:val="008C5BE7"/>
    <w:rsid w:val="008D0DB8"/>
    <w:rsid w:val="008D2350"/>
    <w:rsid w:val="008D2675"/>
    <w:rsid w:val="008D29F0"/>
    <w:rsid w:val="008D4A24"/>
    <w:rsid w:val="008D4C8A"/>
    <w:rsid w:val="008E0BCD"/>
    <w:rsid w:val="008E0F57"/>
    <w:rsid w:val="008E1044"/>
    <w:rsid w:val="008E1762"/>
    <w:rsid w:val="008E4540"/>
    <w:rsid w:val="008E6407"/>
    <w:rsid w:val="008E6413"/>
    <w:rsid w:val="008F2AFA"/>
    <w:rsid w:val="008F32A8"/>
    <w:rsid w:val="008F32F7"/>
    <w:rsid w:val="008F44E4"/>
    <w:rsid w:val="00900314"/>
    <w:rsid w:val="009011E1"/>
    <w:rsid w:val="009013C2"/>
    <w:rsid w:val="0091090D"/>
    <w:rsid w:val="00912ACA"/>
    <w:rsid w:val="00913A01"/>
    <w:rsid w:val="00915849"/>
    <w:rsid w:val="009162B3"/>
    <w:rsid w:val="0091667D"/>
    <w:rsid w:val="009166BB"/>
    <w:rsid w:val="00916810"/>
    <w:rsid w:val="00920B3D"/>
    <w:rsid w:val="009234B3"/>
    <w:rsid w:val="009238B1"/>
    <w:rsid w:val="009272AF"/>
    <w:rsid w:val="00927C40"/>
    <w:rsid w:val="00927EF1"/>
    <w:rsid w:val="00931A64"/>
    <w:rsid w:val="0093425E"/>
    <w:rsid w:val="00934299"/>
    <w:rsid w:val="009363FD"/>
    <w:rsid w:val="00936750"/>
    <w:rsid w:val="00940DF1"/>
    <w:rsid w:val="009411A3"/>
    <w:rsid w:val="00941264"/>
    <w:rsid w:val="00943A05"/>
    <w:rsid w:val="00944F5A"/>
    <w:rsid w:val="009463A2"/>
    <w:rsid w:val="00946833"/>
    <w:rsid w:val="00947B93"/>
    <w:rsid w:val="00950CA0"/>
    <w:rsid w:val="00951044"/>
    <w:rsid w:val="00951766"/>
    <w:rsid w:val="009517B9"/>
    <w:rsid w:val="00951FD4"/>
    <w:rsid w:val="00952120"/>
    <w:rsid w:val="00952E62"/>
    <w:rsid w:val="00953802"/>
    <w:rsid w:val="009548EB"/>
    <w:rsid w:val="009553C8"/>
    <w:rsid w:val="009566B9"/>
    <w:rsid w:val="009578AF"/>
    <w:rsid w:val="00962224"/>
    <w:rsid w:val="00965CEB"/>
    <w:rsid w:val="00965F1C"/>
    <w:rsid w:val="00966378"/>
    <w:rsid w:val="0096653F"/>
    <w:rsid w:val="009710AB"/>
    <w:rsid w:val="00971DDA"/>
    <w:rsid w:val="00972167"/>
    <w:rsid w:val="0097254B"/>
    <w:rsid w:val="00975291"/>
    <w:rsid w:val="00977A58"/>
    <w:rsid w:val="009834BA"/>
    <w:rsid w:val="00983683"/>
    <w:rsid w:val="0098428B"/>
    <w:rsid w:val="00985976"/>
    <w:rsid w:val="00985A73"/>
    <w:rsid w:val="009860C2"/>
    <w:rsid w:val="0098648F"/>
    <w:rsid w:val="009870F0"/>
    <w:rsid w:val="0099025A"/>
    <w:rsid w:val="0099204F"/>
    <w:rsid w:val="00993D25"/>
    <w:rsid w:val="009952A4"/>
    <w:rsid w:val="009973DA"/>
    <w:rsid w:val="00997E3F"/>
    <w:rsid w:val="009A4FF1"/>
    <w:rsid w:val="009A591C"/>
    <w:rsid w:val="009A7142"/>
    <w:rsid w:val="009B0E95"/>
    <w:rsid w:val="009B2B72"/>
    <w:rsid w:val="009B3305"/>
    <w:rsid w:val="009B48E0"/>
    <w:rsid w:val="009B54FA"/>
    <w:rsid w:val="009C1870"/>
    <w:rsid w:val="009C29EC"/>
    <w:rsid w:val="009C4029"/>
    <w:rsid w:val="009C40E4"/>
    <w:rsid w:val="009C4DE7"/>
    <w:rsid w:val="009C5780"/>
    <w:rsid w:val="009C6F2D"/>
    <w:rsid w:val="009D08ED"/>
    <w:rsid w:val="009D0B7D"/>
    <w:rsid w:val="009D0FA4"/>
    <w:rsid w:val="009D182D"/>
    <w:rsid w:val="009D1947"/>
    <w:rsid w:val="009D3E90"/>
    <w:rsid w:val="009D582C"/>
    <w:rsid w:val="009D7564"/>
    <w:rsid w:val="009E0091"/>
    <w:rsid w:val="009E057F"/>
    <w:rsid w:val="009E103D"/>
    <w:rsid w:val="009E40D0"/>
    <w:rsid w:val="009E5FC2"/>
    <w:rsid w:val="009E7225"/>
    <w:rsid w:val="009F0CFD"/>
    <w:rsid w:val="009F1EDA"/>
    <w:rsid w:val="009F2584"/>
    <w:rsid w:val="009F478E"/>
    <w:rsid w:val="009F4AAE"/>
    <w:rsid w:val="009F4FD7"/>
    <w:rsid w:val="009F7472"/>
    <w:rsid w:val="00A00B88"/>
    <w:rsid w:val="00A012ED"/>
    <w:rsid w:val="00A014D6"/>
    <w:rsid w:val="00A01554"/>
    <w:rsid w:val="00A018F7"/>
    <w:rsid w:val="00A023FA"/>
    <w:rsid w:val="00A060D5"/>
    <w:rsid w:val="00A06539"/>
    <w:rsid w:val="00A069DB"/>
    <w:rsid w:val="00A06C3B"/>
    <w:rsid w:val="00A10203"/>
    <w:rsid w:val="00A139DE"/>
    <w:rsid w:val="00A1524D"/>
    <w:rsid w:val="00A16717"/>
    <w:rsid w:val="00A16B0F"/>
    <w:rsid w:val="00A20743"/>
    <w:rsid w:val="00A23D41"/>
    <w:rsid w:val="00A253D6"/>
    <w:rsid w:val="00A258B3"/>
    <w:rsid w:val="00A302AC"/>
    <w:rsid w:val="00A312C2"/>
    <w:rsid w:val="00A31AFE"/>
    <w:rsid w:val="00A415F1"/>
    <w:rsid w:val="00A436D4"/>
    <w:rsid w:val="00A438A8"/>
    <w:rsid w:val="00A440AB"/>
    <w:rsid w:val="00A45E7F"/>
    <w:rsid w:val="00A46CF6"/>
    <w:rsid w:val="00A479CF"/>
    <w:rsid w:val="00A47A46"/>
    <w:rsid w:val="00A5200A"/>
    <w:rsid w:val="00A52065"/>
    <w:rsid w:val="00A5282D"/>
    <w:rsid w:val="00A5389F"/>
    <w:rsid w:val="00A57832"/>
    <w:rsid w:val="00A604AF"/>
    <w:rsid w:val="00A61CDA"/>
    <w:rsid w:val="00A62389"/>
    <w:rsid w:val="00A658A0"/>
    <w:rsid w:val="00A65DAA"/>
    <w:rsid w:val="00A66F3E"/>
    <w:rsid w:val="00A67677"/>
    <w:rsid w:val="00A7250E"/>
    <w:rsid w:val="00A737EB"/>
    <w:rsid w:val="00A745FC"/>
    <w:rsid w:val="00A747CA"/>
    <w:rsid w:val="00A75728"/>
    <w:rsid w:val="00A75AC8"/>
    <w:rsid w:val="00A75FBE"/>
    <w:rsid w:val="00A763CD"/>
    <w:rsid w:val="00A81193"/>
    <w:rsid w:val="00A8224C"/>
    <w:rsid w:val="00A8428D"/>
    <w:rsid w:val="00A85129"/>
    <w:rsid w:val="00A864A3"/>
    <w:rsid w:val="00A86C7B"/>
    <w:rsid w:val="00A91CA5"/>
    <w:rsid w:val="00A93675"/>
    <w:rsid w:val="00A939A7"/>
    <w:rsid w:val="00A941F9"/>
    <w:rsid w:val="00A96CCB"/>
    <w:rsid w:val="00A97FA0"/>
    <w:rsid w:val="00AA0584"/>
    <w:rsid w:val="00AA0BA5"/>
    <w:rsid w:val="00AA0D3F"/>
    <w:rsid w:val="00AA3B10"/>
    <w:rsid w:val="00AA4938"/>
    <w:rsid w:val="00AA52F6"/>
    <w:rsid w:val="00AA6672"/>
    <w:rsid w:val="00AA7CF2"/>
    <w:rsid w:val="00AA7D6E"/>
    <w:rsid w:val="00AB0A59"/>
    <w:rsid w:val="00AB0C49"/>
    <w:rsid w:val="00AB0E57"/>
    <w:rsid w:val="00AB333C"/>
    <w:rsid w:val="00AB35BE"/>
    <w:rsid w:val="00AB3DD7"/>
    <w:rsid w:val="00AB6AA0"/>
    <w:rsid w:val="00AB6BBB"/>
    <w:rsid w:val="00AB6E5D"/>
    <w:rsid w:val="00AC15BB"/>
    <w:rsid w:val="00AC355F"/>
    <w:rsid w:val="00AC6C20"/>
    <w:rsid w:val="00AD3301"/>
    <w:rsid w:val="00AD5ED3"/>
    <w:rsid w:val="00AD6FEA"/>
    <w:rsid w:val="00AE02BC"/>
    <w:rsid w:val="00AE11BD"/>
    <w:rsid w:val="00AE1ADB"/>
    <w:rsid w:val="00AE1FDD"/>
    <w:rsid w:val="00AE3451"/>
    <w:rsid w:val="00AE3515"/>
    <w:rsid w:val="00AF143D"/>
    <w:rsid w:val="00AF2B87"/>
    <w:rsid w:val="00AF3287"/>
    <w:rsid w:val="00AF340E"/>
    <w:rsid w:val="00AF4524"/>
    <w:rsid w:val="00AF5585"/>
    <w:rsid w:val="00AF6420"/>
    <w:rsid w:val="00AF6FC0"/>
    <w:rsid w:val="00B006D9"/>
    <w:rsid w:val="00B01452"/>
    <w:rsid w:val="00B0464A"/>
    <w:rsid w:val="00B049CF"/>
    <w:rsid w:val="00B051FE"/>
    <w:rsid w:val="00B079FB"/>
    <w:rsid w:val="00B101F7"/>
    <w:rsid w:val="00B10E96"/>
    <w:rsid w:val="00B10F90"/>
    <w:rsid w:val="00B11793"/>
    <w:rsid w:val="00B11999"/>
    <w:rsid w:val="00B11F2A"/>
    <w:rsid w:val="00B12B30"/>
    <w:rsid w:val="00B1350A"/>
    <w:rsid w:val="00B13975"/>
    <w:rsid w:val="00B14079"/>
    <w:rsid w:val="00B1449C"/>
    <w:rsid w:val="00B14C48"/>
    <w:rsid w:val="00B20B4D"/>
    <w:rsid w:val="00B2112E"/>
    <w:rsid w:val="00B21474"/>
    <w:rsid w:val="00B21584"/>
    <w:rsid w:val="00B234AE"/>
    <w:rsid w:val="00B24658"/>
    <w:rsid w:val="00B25026"/>
    <w:rsid w:val="00B2710C"/>
    <w:rsid w:val="00B27469"/>
    <w:rsid w:val="00B303F5"/>
    <w:rsid w:val="00B312CD"/>
    <w:rsid w:val="00B336F8"/>
    <w:rsid w:val="00B34294"/>
    <w:rsid w:val="00B40003"/>
    <w:rsid w:val="00B408A6"/>
    <w:rsid w:val="00B40AA2"/>
    <w:rsid w:val="00B40D51"/>
    <w:rsid w:val="00B40D60"/>
    <w:rsid w:val="00B4134D"/>
    <w:rsid w:val="00B41A7A"/>
    <w:rsid w:val="00B42393"/>
    <w:rsid w:val="00B43F32"/>
    <w:rsid w:val="00B44239"/>
    <w:rsid w:val="00B44F29"/>
    <w:rsid w:val="00B452D0"/>
    <w:rsid w:val="00B4648F"/>
    <w:rsid w:val="00B47F18"/>
    <w:rsid w:val="00B525EE"/>
    <w:rsid w:val="00B55A06"/>
    <w:rsid w:val="00B56572"/>
    <w:rsid w:val="00B57895"/>
    <w:rsid w:val="00B62D96"/>
    <w:rsid w:val="00B650E8"/>
    <w:rsid w:val="00B65B72"/>
    <w:rsid w:val="00B6715D"/>
    <w:rsid w:val="00B67A0B"/>
    <w:rsid w:val="00B74BC9"/>
    <w:rsid w:val="00B759B6"/>
    <w:rsid w:val="00B763C1"/>
    <w:rsid w:val="00B76748"/>
    <w:rsid w:val="00B77788"/>
    <w:rsid w:val="00B85194"/>
    <w:rsid w:val="00B86955"/>
    <w:rsid w:val="00B86977"/>
    <w:rsid w:val="00B86F27"/>
    <w:rsid w:val="00B8744A"/>
    <w:rsid w:val="00B90A72"/>
    <w:rsid w:val="00B91BB4"/>
    <w:rsid w:val="00B92208"/>
    <w:rsid w:val="00B938C5"/>
    <w:rsid w:val="00B93F66"/>
    <w:rsid w:val="00B948AF"/>
    <w:rsid w:val="00B94E05"/>
    <w:rsid w:val="00B95525"/>
    <w:rsid w:val="00B95EA3"/>
    <w:rsid w:val="00B95EF8"/>
    <w:rsid w:val="00B9673C"/>
    <w:rsid w:val="00B9702E"/>
    <w:rsid w:val="00B9767A"/>
    <w:rsid w:val="00BA07D4"/>
    <w:rsid w:val="00BA0C7A"/>
    <w:rsid w:val="00BA1098"/>
    <w:rsid w:val="00BA2C25"/>
    <w:rsid w:val="00BA3063"/>
    <w:rsid w:val="00BA318F"/>
    <w:rsid w:val="00BA499F"/>
    <w:rsid w:val="00BA70C6"/>
    <w:rsid w:val="00BB0DC5"/>
    <w:rsid w:val="00BB3EBF"/>
    <w:rsid w:val="00BB43B1"/>
    <w:rsid w:val="00BB5271"/>
    <w:rsid w:val="00BB7314"/>
    <w:rsid w:val="00BC20F5"/>
    <w:rsid w:val="00BC2969"/>
    <w:rsid w:val="00BC2BDD"/>
    <w:rsid w:val="00BC4307"/>
    <w:rsid w:val="00BC5399"/>
    <w:rsid w:val="00BC5F6B"/>
    <w:rsid w:val="00BC71A5"/>
    <w:rsid w:val="00BD188D"/>
    <w:rsid w:val="00BD241A"/>
    <w:rsid w:val="00BD2FFA"/>
    <w:rsid w:val="00BD6724"/>
    <w:rsid w:val="00BD752D"/>
    <w:rsid w:val="00BE35B5"/>
    <w:rsid w:val="00BE3B06"/>
    <w:rsid w:val="00BE4E71"/>
    <w:rsid w:val="00BE5B94"/>
    <w:rsid w:val="00BE5BF9"/>
    <w:rsid w:val="00BF0B15"/>
    <w:rsid w:val="00BF1492"/>
    <w:rsid w:val="00BF1A9D"/>
    <w:rsid w:val="00BF1E4D"/>
    <w:rsid w:val="00BF2033"/>
    <w:rsid w:val="00BF262C"/>
    <w:rsid w:val="00BF2B91"/>
    <w:rsid w:val="00BF3509"/>
    <w:rsid w:val="00BF5132"/>
    <w:rsid w:val="00BF5E13"/>
    <w:rsid w:val="00BF7A7A"/>
    <w:rsid w:val="00C018FC"/>
    <w:rsid w:val="00C01FB7"/>
    <w:rsid w:val="00C0346E"/>
    <w:rsid w:val="00C10FF7"/>
    <w:rsid w:val="00C1106D"/>
    <w:rsid w:val="00C20C97"/>
    <w:rsid w:val="00C2116A"/>
    <w:rsid w:val="00C2199A"/>
    <w:rsid w:val="00C23503"/>
    <w:rsid w:val="00C23F8D"/>
    <w:rsid w:val="00C25FDF"/>
    <w:rsid w:val="00C30D7B"/>
    <w:rsid w:val="00C32CE2"/>
    <w:rsid w:val="00C36630"/>
    <w:rsid w:val="00C36F3A"/>
    <w:rsid w:val="00C410DD"/>
    <w:rsid w:val="00C423A5"/>
    <w:rsid w:val="00C423D4"/>
    <w:rsid w:val="00C42414"/>
    <w:rsid w:val="00C42EF4"/>
    <w:rsid w:val="00C47DE8"/>
    <w:rsid w:val="00C5218A"/>
    <w:rsid w:val="00C53BB9"/>
    <w:rsid w:val="00C53FDA"/>
    <w:rsid w:val="00C54FA8"/>
    <w:rsid w:val="00C55608"/>
    <w:rsid w:val="00C56A92"/>
    <w:rsid w:val="00C60E6F"/>
    <w:rsid w:val="00C6172D"/>
    <w:rsid w:val="00C6222C"/>
    <w:rsid w:val="00C62603"/>
    <w:rsid w:val="00C640BA"/>
    <w:rsid w:val="00C644A2"/>
    <w:rsid w:val="00C64D3E"/>
    <w:rsid w:val="00C65CE7"/>
    <w:rsid w:val="00C65D19"/>
    <w:rsid w:val="00C660E3"/>
    <w:rsid w:val="00C66C55"/>
    <w:rsid w:val="00C71420"/>
    <w:rsid w:val="00C7332A"/>
    <w:rsid w:val="00C746CE"/>
    <w:rsid w:val="00C74E0D"/>
    <w:rsid w:val="00C74EBA"/>
    <w:rsid w:val="00C7599F"/>
    <w:rsid w:val="00C7622D"/>
    <w:rsid w:val="00C7759E"/>
    <w:rsid w:val="00C800A3"/>
    <w:rsid w:val="00C84A3F"/>
    <w:rsid w:val="00C84DBC"/>
    <w:rsid w:val="00C857A3"/>
    <w:rsid w:val="00C86C50"/>
    <w:rsid w:val="00C87F4F"/>
    <w:rsid w:val="00C90C6B"/>
    <w:rsid w:val="00C90D03"/>
    <w:rsid w:val="00C90F96"/>
    <w:rsid w:val="00C91136"/>
    <w:rsid w:val="00C92ECC"/>
    <w:rsid w:val="00C9328D"/>
    <w:rsid w:val="00C93DE5"/>
    <w:rsid w:val="00C959BA"/>
    <w:rsid w:val="00C9782B"/>
    <w:rsid w:val="00C97B4F"/>
    <w:rsid w:val="00CA0B3B"/>
    <w:rsid w:val="00CA10F1"/>
    <w:rsid w:val="00CA1496"/>
    <w:rsid w:val="00CA178A"/>
    <w:rsid w:val="00CA4D89"/>
    <w:rsid w:val="00CA77E1"/>
    <w:rsid w:val="00CB0D19"/>
    <w:rsid w:val="00CB292F"/>
    <w:rsid w:val="00CB3042"/>
    <w:rsid w:val="00CB707B"/>
    <w:rsid w:val="00CC2773"/>
    <w:rsid w:val="00CC2F61"/>
    <w:rsid w:val="00CC3FD0"/>
    <w:rsid w:val="00CC44BF"/>
    <w:rsid w:val="00CC51D4"/>
    <w:rsid w:val="00CC5B53"/>
    <w:rsid w:val="00CC6AAD"/>
    <w:rsid w:val="00CC7D4C"/>
    <w:rsid w:val="00CC7E3A"/>
    <w:rsid w:val="00CD1E8E"/>
    <w:rsid w:val="00CD249C"/>
    <w:rsid w:val="00CD2650"/>
    <w:rsid w:val="00CD280F"/>
    <w:rsid w:val="00CD7CD6"/>
    <w:rsid w:val="00CD7EC5"/>
    <w:rsid w:val="00CE08EA"/>
    <w:rsid w:val="00CE276D"/>
    <w:rsid w:val="00CE3413"/>
    <w:rsid w:val="00CE3753"/>
    <w:rsid w:val="00CE422C"/>
    <w:rsid w:val="00CE43B3"/>
    <w:rsid w:val="00CE55D5"/>
    <w:rsid w:val="00CF02CF"/>
    <w:rsid w:val="00CF063A"/>
    <w:rsid w:val="00CF084A"/>
    <w:rsid w:val="00CF248E"/>
    <w:rsid w:val="00CF25E1"/>
    <w:rsid w:val="00CF5112"/>
    <w:rsid w:val="00CF6899"/>
    <w:rsid w:val="00CF71C2"/>
    <w:rsid w:val="00CF79FE"/>
    <w:rsid w:val="00CF7B1C"/>
    <w:rsid w:val="00CF7F79"/>
    <w:rsid w:val="00D00529"/>
    <w:rsid w:val="00D0317B"/>
    <w:rsid w:val="00D03A76"/>
    <w:rsid w:val="00D040E5"/>
    <w:rsid w:val="00D04A9C"/>
    <w:rsid w:val="00D10D4F"/>
    <w:rsid w:val="00D1160D"/>
    <w:rsid w:val="00D1196E"/>
    <w:rsid w:val="00D1281D"/>
    <w:rsid w:val="00D13703"/>
    <w:rsid w:val="00D15436"/>
    <w:rsid w:val="00D16D26"/>
    <w:rsid w:val="00D21E9C"/>
    <w:rsid w:val="00D23BAD"/>
    <w:rsid w:val="00D2437B"/>
    <w:rsid w:val="00D27961"/>
    <w:rsid w:val="00D31F94"/>
    <w:rsid w:val="00D32651"/>
    <w:rsid w:val="00D34A65"/>
    <w:rsid w:val="00D36932"/>
    <w:rsid w:val="00D42F94"/>
    <w:rsid w:val="00D44410"/>
    <w:rsid w:val="00D45B82"/>
    <w:rsid w:val="00D46CB6"/>
    <w:rsid w:val="00D53665"/>
    <w:rsid w:val="00D55833"/>
    <w:rsid w:val="00D57531"/>
    <w:rsid w:val="00D60032"/>
    <w:rsid w:val="00D60259"/>
    <w:rsid w:val="00D60FC3"/>
    <w:rsid w:val="00D6348C"/>
    <w:rsid w:val="00D63861"/>
    <w:rsid w:val="00D6489F"/>
    <w:rsid w:val="00D70D97"/>
    <w:rsid w:val="00D81221"/>
    <w:rsid w:val="00D82772"/>
    <w:rsid w:val="00D84639"/>
    <w:rsid w:val="00D84795"/>
    <w:rsid w:val="00D85594"/>
    <w:rsid w:val="00D85BDA"/>
    <w:rsid w:val="00D905C1"/>
    <w:rsid w:val="00D90718"/>
    <w:rsid w:val="00D9088D"/>
    <w:rsid w:val="00D945DC"/>
    <w:rsid w:val="00D948E9"/>
    <w:rsid w:val="00D95222"/>
    <w:rsid w:val="00D96F0C"/>
    <w:rsid w:val="00D97E2C"/>
    <w:rsid w:val="00DA0A66"/>
    <w:rsid w:val="00DA0E03"/>
    <w:rsid w:val="00DA0F63"/>
    <w:rsid w:val="00DA2BE8"/>
    <w:rsid w:val="00DA3494"/>
    <w:rsid w:val="00DA34AF"/>
    <w:rsid w:val="00DA4BEA"/>
    <w:rsid w:val="00DA75A6"/>
    <w:rsid w:val="00DA780B"/>
    <w:rsid w:val="00DB0463"/>
    <w:rsid w:val="00DB19E1"/>
    <w:rsid w:val="00DB21EF"/>
    <w:rsid w:val="00DB5628"/>
    <w:rsid w:val="00DB6276"/>
    <w:rsid w:val="00DB72B3"/>
    <w:rsid w:val="00DB7A91"/>
    <w:rsid w:val="00DC1C42"/>
    <w:rsid w:val="00DC1F80"/>
    <w:rsid w:val="00DC26CB"/>
    <w:rsid w:val="00DC3DDC"/>
    <w:rsid w:val="00DC4681"/>
    <w:rsid w:val="00DC5946"/>
    <w:rsid w:val="00DC5F5A"/>
    <w:rsid w:val="00DD09D2"/>
    <w:rsid w:val="00DD0F1A"/>
    <w:rsid w:val="00DD1396"/>
    <w:rsid w:val="00DD28C6"/>
    <w:rsid w:val="00DD2A02"/>
    <w:rsid w:val="00DD4CCE"/>
    <w:rsid w:val="00DE001D"/>
    <w:rsid w:val="00DE0EE3"/>
    <w:rsid w:val="00DE1318"/>
    <w:rsid w:val="00DE142A"/>
    <w:rsid w:val="00DE27B2"/>
    <w:rsid w:val="00DE332C"/>
    <w:rsid w:val="00DE4967"/>
    <w:rsid w:val="00DE4F18"/>
    <w:rsid w:val="00DE5F97"/>
    <w:rsid w:val="00DF0256"/>
    <w:rsid w:val="00DF1600"/>
    <w:rsid w:val="00DF162C"/>
    <w:rsid w:val="00DF3063"/>
    <w:rsid w:val="00DF4AE5"/>
    <w:rsid w:val="00DF5AD9"/>
    <w:rsid w:val="00DF7CCE"/>
    <w:rsid w:val="00E0042D"/>
    <w:rsid w:val="00E012A7"/>
    <w:rsid w:val="00E01736"/>
    <w:rsid w:val="00E0444F"/>
    <w:rsid w:val="00E05894"/>
    <w:rsid w:val="00E07413"/>
    <w:rsid w:val="00E07575"/>
    <w:rsid w:val="00E1057C"/>
    <w:rsid w:val="00E10CCC"/>
    <w:rsid w:val="00E12E37"/>
    <w:rsid w:val="00E14BCA"/>
    <w:rsid w:val="00E155C5"/>
    <w:rsid w:val="00E164F9"/>
    <w:rsid w:val="00E171AB"/>
    <w:rsid w:val="00E206AA"/>
    <w:rsid w:val="00E23C62"/>
    <w:rsid w:val="00E240BC"/>
    <w:rsid w:val="00E24DBF"/>
    <w:rsid w:val="00E24FA3"/>
    <w:rsid w:val="00E25936"/>
    <w:rsid w:val="00E263F6"/>
    <w:rsid w:val="00E26707"/>
    <w:rsid w:val="00E3157D"/>
    <w:rsid w:val="00E31B23"/>
    <w:rsid w:val="00E32FDB"/>
    <w:rsid w:val="00E332DB"/>
    <w:rsid w:val="00E33D7B"/>
    <w:rsid w:val="00E3550B"/>
    <w:rsid w:val="00E35FAC"/>
    <w:rsid w:val="00E36DD9"/>
    <w:rsid w:val="00E36F84"/>
    <w:rsid w:val="00E37092"/>
    <w:rsid w:val="00E37B06"/>
    <w:rsid w:val="00E412FC"/>
    <w:rsid w:val="00E41F33"/>
    <w:rsid w:val="00E43118"/>
    <w:rsid w:val="00E4554B"/>
    <w:rsid w:val="00E45A66"/>
    <w:rsid w:val="00E461C9"/>
    <w:rsid w:val="00E4740E"/>
    <w:rsid w:val="00E4778B"/>
    <w:rsid w:val="00E50F05"/>
    <w:rsid w:val="00E57604"/>
    <w:rsid w:val="00E605CD"/>
    <w:rsid w:val="00E611A7"/>
    <w:rsid w:val="00E63366"/>
    <w:rsid w:val="00E64624"/>
    <w:rsid w:val="00E648C8"/>
    <w:rsid w:val="00E7077F"/>
    <w:rsid w:val="00E72066"/>
    <w:rsid w:val="00E72E20"/>
    <w:rsid w:val="00E72EEF"/>
    <w:rsid w:val="00E73CE1"/>
    <w:rsid w:val="00E7599B"/>
    <w:rsid w:val="00E773F7"/>
    <w:rsid w:val="00E80CC1"/>
    <w:rsid w:val="00E824B4"/>
    <w:rsid w:val="00E82A7C"/>
    <w:rsid w:val="00E82C75"/>
    <w:rsid w:val="00E83ECA"/>
    <w:rsid w:val="00E84DD2"/>
    <w:rsid w:val="00E85164"/>
    <w:rsid w:val="00E8672E"/>
    <w:rsid w:val="00E9005D"/>
    <w:rsid w:val="00E927AD"/>
    <w:rsid w:val="00E92FC9"/>
    <w:rsid w:val="00E96CFA"/>
    <w:rsid w:val="00EA15BA"/>
    <w:rsid w:val="00EA2898"/>
    <w:rsid w:val="00EA3BD5"/>
    <w:rsid w:val="00EA5308"/>
    <w:rsid w:val="00EA6264"/>
    <w:rsid w:val="00EA6F3B"/>
    <w:rsid w:val="00EA70CE"/>
    <w:rsid w:val="00EA7749"/>
    <w:rsid w:val="00EB1C39"/>
    <w:rsid w:val="00EB5AC2"/>
    <w:rsid w:val="00EC042B"/>
    <w:rsid w:val="00EC2711"/>
    <w:rsid w:val="00EC2BCD"/>
    <w:rsid w:val="00EC642D"/>
    <w:rsid w:val="00EC6CC6"/>
    <w:rsid w:val="00ED0023"/>
    <w:rsid w:val="00ED06EC"/>
    <w:rsid w:val="00ED25D1"/>
    <w:rsid w:val="00ED3350"/>
    <w:rsid w:val="00ED4407"/>
    <w:rsid w:val="00ED5662"/>
    <w:rsid w:val="00ED583C"/>
    <w:rsid w:val="00ED7879"/>
    <w:rsid w:val="00ED78F2"/>
    <w:rsid w:val="00EE46CF"/>
    <w:rsid w:val="00EE6C1B"/>
    <w:rsid w:val="00EF14D1"/>
    <w:rsid w:val="00EF1C47"/>
    <w:rsid w:val="00EF2126"/>
    <w:rsid w:val="00EF335F"/>
    <w:rsid w:val="00EF54E1"/>
    <w:rsid w:val="00EF6F93"/>
    <w:rsid w:val="00EF753A"/>
    <w:rsid w:val="00EF75E4"/>
    <w:rsid w:val="00EF7E04"/>
    <w:rsid w:val="00F000A7"/>
    <w:rsid w:val="00F05E31"/>
    <w:rsid w:val="00F10D40"/>
    <w:rsid w:val="00F11988"/>
    <w:rsid w:val="00F11CAF"/>
    <w:rsid w:val="00F12159"/>
    <w:rsid w:val="00F14813"/>
    <w:rsid w:val="00F148B0"/>
    <w:rsid w:val="00F15595"/>
    <w:rsid w:val="00F15A57"/>
    <w:rsid w:val="00F17CA2"/>
    <w:rsid w:val="00F20F4E"/>
    <w:rsid w:val="00F22336"/>
    <w:rsid w:val="00F2305C"/>
    <w:rsid w:val="00F24526"/>
    <w:rsid w:val="00F25689"/>
    <w:rsid w:val="00F2598A"/>
    <w:rsid w:val="00F26AF2"/>
    <w:rsid w:val="00F27537"/>
    <w:rsid w:val="00F31B99"/>
    <w:rsid w:val="00F3251C"/>
    <w:rsid w:val="00F33901"/>
    <w:rsid w:val="00F35025"/>
    <w:rsid w:val="00F3740F"/>
    <w:rsid w:val="00F37ACF"/>
    <w:rsid w:val="00F43DB2"/>
    <w:rsid w:val="00F43E9C"/>
    <w:rsid w:val="00F445AE"/>
    <w:rsid w:val="00F46E96"/>
    <w:rsid w:val="00F4749D"/>
    <w:rsid w:val="00F5002F"/>
    <w:rsid w:val="00F6222B"/>
    <w:rsid w:val="00F66D65"/>
    <w:rsid w:val="00F67CDD"/>
    <w:rsid w:val="00F7017E"/>
    <w:rsid w:val="00F701A1"/>
    <w:rsid w:val="00F7080E"/>
    <w:rsid w:val="00F71E82"/>
    <w:rsid w:val="00F75658"/>
    <w:rsid w:val="00F76F37"/>
    <w:rsid w:val="00F7760C"/>
    <w:rsid w:val="00F7779B"/>
    <w:rsid w:val="00F83230"/>
    <w:rsid w:val="00F83ECA"/>
    <w:rsid w:val="00F86F47"/>
    <w:rsid w:val="00F87757"/>
    <w:rsid w:val="00F87CCD"/>
    <w:rsid w:val="00F87D66"/>
    <w:rsid w:val="00F87DB7"/>
    <w:rsid w:val="00F90563"/>
    <w:rsid w:val="00F9061C"/>
    <w:rsid w:val="00F91CC3"/>
    <w:rsid w:val="00F91FCA"/>
    <w:rsid w:val="00F95C1A"/>
    <w:rsid w:val="00F97012"/>
    <w:rsid w:val="00FA0A44"/>
    <w:rsid w:val="00FA10C9"/>
    <w:rsid w:val="00FA1CA8"/>
    <w:rsid w:val="00FA22F4"/>
    <w:rsid w:val="00FA39A5"/>
    <w:rsid w:val="00FA6B99"/>
    <w:rsid w:val="00FB0667"/>
    <w:rsid w:val="00FB47F9"/>
    <w:rsid w:val="00FB79BA"/>
    <w:rsid w:val="00FC0995"/>
    <w:rsid w:val="00FC0E30"/>
    <w:rsid w:val="00FC52F5"/>
    <w:rsid w:val="00FC5AC6"/>
    <w:rsid w:val="00FC7618"/>
    <w:rsid w:val="00FC777E"/>
    <w:rsid w:val="00FD38E6"/>
    <w:rsid w:val="00FD4C9C"/>
    <w:rsid w:val="00FD5142"/>
    <w:rsid w:val="00FD76B8"/>
    <w:rsid w:val="00FE01D7"/>
    <w:rsid w:val="00FE0A4C"/>
    <w:rsid w:val="00FE0B27"/>
    <w:rsid w:val="00FE0E2B"/>
    <w:rsid w:val="00FE0EBE"/>
    <w:rsid w:val="00FE2F80"/>
    <w:rsid w:val="00FE42D4"/>
    <w:rsid w:val="00FE5FE9"/>
    <w:rsid w:val="00FE71CE"/>
    <w:rsid w:val="00FE7A2E"/>
    <w:rsid w:val="00FF1802"/>
    <w:rsid w:val="00FF1EE2"/>
    <w:rsid w:val="00FF1F71"/>
    <w:rsid w:val="00FF2254"/>
    <w:rsid w:val="00FF318A"/>
    <w:rsid w:val="00FF32A9"/>
    <w:rsid w:val="00FF3558"/>
    <w:rsid w:val="00FF3BC0"/>
    <w:rsid w:val="00FF5026"/>
    <w:rsid w:val="00FF52D3"/>
    <w:rsid w:val="00FF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19">
    <w:name w:val="xl19"/>
    <w:basedOn w:val="Normal"/>
    <w:rsid w:val="00C7759E"/>
    <w:pPr>
      <w:spacing w:before="100" w:after="100"/>
    </w:pPr>
    <w:rPr>
      <w:rFonts w:eastAsia="Arial Unicode MS"/>
      <w:szCs w:val="20"/>
    </w:rPr>
  </w:style>
  <w:style w:type="paragraph" w:styleId="BodyText">
    <w:name w:val="Body Text"/>
    <w:basedOn w:val="Normal"/>
    <w:rsid w:val="00C7759E"/>
    <w:rPr>
      <w:szCs w:val="20"/>
    </w:rPr>
  </w:style>
  <w:style w:type="paragraph" w:customStyle="1" w:styleId="xl27">
    <w:name w:val="xl27"/>
    <w:basedOn w:val="Normal"/>
    <w:rsid w:val="00C7759E"/>
    <w:pPr>
      <w:spacing w:before="100" w:after="100"/>
    </w:pPr>
    <w:rPr>
      <w:rFonts w:ascii="Arial" w:eastAsia="Arial Unicode MS" w:hAnsi="Arial"/>
      <w:b/>
      <w:szCs w:val="20"/>
    </w:rPr>
  </w:style>
  <w:style w:type="paragraph" w:styleId="Title">
    <w:name w:val="Title"/>
    <w:basedOn w:val="Normal"/>
    <w:qFormat/>
    <w:rsid w:val="00C7759E"/>
    <w:pPr>
      <w:ind w:left="720"/>
      <w:jc w:val="center"/>
    </w:pPr>
    <w:rPr>
      <w:b/>
      <w:i/>
      <w:szCs w:val="20"/>
    </w:rPr>
  </w:style>
  <w:style w:type="paragraph" w:styleId="BalloonText">
    <w:name w:val="Balloon Text"/>
    <w:basedOn w:val="Normal"/>
    <w:semiHidden/>
    <w:rsid w:val="00C7759E"/>
    <w:rPr>
      <w:rFonts w:ascii="Tahoma" w:hAnsi="Tahoma" w:cs="Tahoma"/>
      <w:sz w:val="16"/>
      <w:szCs w:val="16"/>
    </w:rPr>
  </w:style>
  <w:style w:type="paragraph" w:customStyle="1" w:styleId="26">
    <w:name w:val="_26"/>
    <w:rsid w:val="00A747CA"/>
    <w:pPr>
      <w:widowControl w:val="0"/>
      <w:autoSpaceDE w:val="0"/>
      <w:autoSpaceDN w:val="0"/>
      <w:adjustRightInd w:val="0"/>
      <w:jc w:val="both"/>
    </w:pPr>
    <w:rPr>
      <w:sz w:val="24"/>
      <w:szCs w:val="24"/>
    </w:rPr>
  </w:style>
  <w:style w:type="table" w:styleId="TableGrid">
    <w:name w:val="Table Grid"/>
    <w:basedOn w:val="TableNormal"/>
    <w:uiPriority w:val="59"/>
    <w:rsid w:val="00C7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C2116A"/>
    <w:pPr>
      <w:widowControl w:val="0"/>
    </w:pPr>
    <w:rPr>
      <w:szCs w:val="20"/>
    </w:rPr>
  </w:style>
  <w:style w:type="character" w:styleId="Hyperlink">
    <w:name w:val="Hyperlink"/>
    <w:rsid w:val="00C2116A"/>
    <w:rPr>
      <w:color w:val="0000FF"/>
      <w:u w:val="single"/>
    </w:rPr>
  </w:style>
  <w:style w:type="paragraph" w:styleId="BlockText">
    <w:name w:val="Block Text"/>
    <w:basedOn w:val="Normal"/>
    <w:rsid w:val="00C2116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right="16"/>
    </w:pPr>
    <w:rPr>
      <w:rFonts w:cs="CG Times"/>
      <w:sz w:val="20"/>
    </w:rPr>
  </w:style>
  <w:style w:type="paragraph" w:styleId="Footer">
    <w:name w:val="footer"/>
    <w:basedOn w:val="Normal"/>
    <w:link w:val="FooterChar"/>
    <w:uiPriority w:val="99"/>
    <w:rsid w:val="00EA6264"/>
    <w:pPr>
      <w:tabs>
        <w:tab w:val="center" w:pos="4320"/>
        <w:tab w:val="right" w:pos="8640"/>
      </w:tabs>
    </w:pPr>
  </w:style>
  <w:style w:type="character" w:styleId="PageNumber">
    <w:name w:val="page number"/>
    <w:basedOn w:val="DefaultParagraphFont"/>
    <w:rsid w:val="00EA6264"/>
  </w:style>
  <w:style w:type="character" w:styleId="FollowedHyperlink">
    <w:name w:val="FollowedHyperlink"/>
    <w:rsid w:val="002C7FD1"/>
    <w:rPr>
      <w:color w:val="606420"/>
      <w:u w:val="single"/>
    </w:rPr>
  </w:style>
  <w:style w:type="paragraph" w:styleId="NormalWeb">
    <w:name w:val="Normal (Web)"/>
    <w:basedOn w:val="Normal"/>
    <w:uiPriority w:val="99"/>
    <w:semiHidden/>
    <w:unhideWhenUsed/>
    <w:rsid w:val="00EC6CC6"/>
    <w:pPr>
      <w:spacing w:before="100" w:beforeAutospacing="1" w:after="100" w:afterAutospacing="1"/>
    </w:pPr>
  </w:style>
  <w:style w:type="paragraph" w:styleId="Header">
    <w:name w:val="header"/>
    <w:basedOn w:val="Normal"/>
    <w:link w:val="HeaderChar"/>
    <w:uiPriority w:val="99"/>
    <w:semiHidden/>
    <w:unhideWhenUsed/>
    <w:rsid w:val="00CD249C"/>
    <w:pPr>
      <w:tabs>
        <w:tab w:val="center" w:pos="4680"/>
        <w:tab w:val="right" w:pos="9360"/>
      </w:tabs>
    </w:pPr>
  </w:style>
  <w:style w:type="character" w:customStyle="1" w:styleId="HeaderChar">
    <w:name w:val="Header Char"/>
    <w:link w:val="Header"/>
    <w:uiPriority w:val="99"/>
    <w:semiHidden/>
    <w:rsid w:val="00CD249C"/>
    <w:rPr>
      <w:sz w:val="24"/>
      <w:szCs w:val="24"/>
    </w:rPr>
  </w:style>
  <w:style w:type="character" w:customStyle="1" w:styleId="FooterChar">
    <w:name w:val="Footer Char"/>
    <w:link w:val="Footer"/>
    <w:uiPriority w:val="99"/>
    <w:rsid w:val="00AE1ADB"/>
    <w:rPr>
      <w:sz w:val="24"/>
      <w:szCs w:val="24"/>
    </w:rPr>
  </w:style>
  <w:style w:type="paragraph" w:styleId="FootnoteText">
    <w:name w:val="footnote text"/>
    <w:basedOn w:val="Normal"/>
    <w:link w:val="FootnoteTextChar"/>
    <w:semiHidden/>
    <w:unhideWhenUsed/>
    <w:rsid w:val="00965F1C"/>
    <w:rPr>
      <w:sz w:val="20"/>
      <w:szCs w:val="20"/>
    </w:rPr>
  </w:style>
  <w:style w:type="character" w:customStyle="1" w:styleId="FootnoteTextChar">
    <w:name w:val="Footnote Text Char"/>
    <w:basedOn w:val="DefaultParagraphFont"/>
    <w:link w:val="FootnoteText"/>
    <w:uiPriority w:val="99"/>
    <w:semiHidden/>
    <w:rsid w:val="00965F1C"/>
  </w:style>
  <w:style w:type="character" w:styleId="FootnoteReference">
    <w:name w:val="footnote reference"/>
    <w:semiHidden/>
    <w:unhideWhenUsed/>
    <w:rsid w:val="00965F1C"/>
    <w:rPr>
      <w:vertAlign w:val="superscript"/>
    </w:rPr>
  </w:style>
  <w:style w:type="paragraph" w:customStyle="1" w:styleId="Default">
    <w:name w:val="Default"/>
    <w:rsid w:val="00396929"/>
    <w:pPr>
      <w:autoSpaceDE w:val="0"/>
      <w:autoSpaceDN w:val="0"/>
      <w:adjustRightInd w:val="0"/>
    </w:pPr>
    <w:rPr>
      <w:rFonts w:ascii="Arial" w:hAnsi="Arial"/>
      <w:sz w:val="24"/>
      <w:szCs w:val="24"/>
    </w:rPr>
  </w:style>
  <w:style w:type="paragraph" w:styleId="ListParagraph">
    <w:name w:val="List Paragraph"/>
    <w:basedOn w:val="Normal"/>
    <w:uiPriority w:val="34"/>
    <w:qFormat/>
    <w:rsid w:val="00024463"/>
    <w:pPr>
      <w:ind w:left="720"/>
    </w:pPr>
  </w:style>
  <w:style w:type="character" w:styleId="CommentReference">
    <w:name w:val="annotation reference"/>
    <w:uiPriority w:val="99"/>
    <w:semiHidden/>
    <w:unhideWhenUsed/>
    <w:rsid w:val="00CA178A"/>
    <w:rPr>
      <w:sz w:val="16"/>
      <w:szCs w:val="16"/>
    </w:rPr>
  </w:style>
  <w:style w:type="paragraph" w:styleId="CommentText">
    <w:name w:val="annotation text"/>
    <w:basedOn w:val="Normal"/>
    <w:link w:val="CommentTextChar"/>
    <w:uiPriority w:val="99"/>
    <w:semiHidden/>
    <w:unhideWhenUsed/>
    <w:rsid w:val="00CA178A"/>
    <w:rPr>
      <w:sz w:val="20"/>
      <w:szCs w:val="20"/>
    </w:rPr>
  </w:style>
  <w:style w:type="character" w:customStyle="1" w:styleId="CommentTextChar">
    <w:name w:val="Comment Text Char"/>
    <w:basedOn w:val="DefaultParagraphFont"/>
    <w:link w:val="CommentText"/>
    <w:uiPriority w:val="99"/>
    <w:semiHidden/>
    <w:rsid w:val="00CA178A"/>
  </w:style>
  <w:style w:type="paragraph" w:styleId="CommentSubject">
    <w:name w:val="annotation subject"/>
    <w:basedOn w:val="CommentText"/>
    <w:next w:val="CommentText"/>
    <w:link w:val="CommentSubjectChar"/>
    <w:uiPriority w:val="99"/>
    <w:semiHidden/>
    <w:unhideWhenUsed/>
    <w:rsid w:val="00CA178A"/>
    <w:rPr>
      <w:b/>
      <w:bCs/>
    </w:rPr>
  </w:style>
  <w:style w:type="character" w:customStyle="1" w:styleId="CommentSubjectChar">
    <w:name w:val="Comment Subject Char"/>
    <w:link w:val="CommentSubject"/>
    <w:uiPriority w:val="99"/>
    <w:semiHidden/>
    <w:rsid w:val="00CA178A"/>
    <w:rPr>
      <w:b/>
      <w:bCs/>
    </w:rPr>
  </w:style>
  <w:style w:type="paragraph" w:styleId="Revision">
    <w:name w:val="Revision"/>
    <w:hidden/>
    <w:uiPriority w:val="99"/>
    <w:semiHidden/>
    <w:rsid w:val="00AA3B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847042">
      <w:bodyDiv w:val="1"/>
      <w:marLeft w:val="60"/>
      <w:marRight w:val="60"/>
      <w:marTop w:val="60"/>
      <w:marBottom w:val="15"/>
      <w:divBdr>
        <w:top w:val="none" w:sz="0" w:space="0" w:color="auto"/>
        <w:left w:val="none" w:sz="0" w:space="0" w:color="auto"/>
        <w:bottom w:val="none" w:sz="0" w:space="0" w:color="auto"/>
        <w:right w:val="none" w:sz="0" w:space="0" w:color="auto"/>
      </w:divBdr>
      <w:divsChild>
        <w:div w:id="260066165">
          <w:marLeft w:val="0"/>
          <w:marRight w:val="0"/>
          <w:marTop w:val="0"/>
          <w:marBottom w:val="0"/>
          <w:divBdr>
            <w:top w:val="none" w:sz="0" w:space="0" w:color="auto"/>
            <w:left w:val="none" w:sz="0" w:space="0" w:color="auto"/>
            <w:bottom w:val="none" w:sz="0" w:space="0" w:color="auto"/>
            <w:right w:val="none" w:sz="0" w:space="0" w:color="auto"/>
          </w:divBdr>
        </w:div>
        <w:div w:id="1105031600">
          <w:marLeft w:val="0"/>
          <w:marRight w:val="0"/>
          <w:marTop w:val="0"/>
          <w:marBottom w:val="0"/>
          <w:divBdr>
            <w:top w:val="none" w:sz="0" w:space="0" w:color="auto"/>
            <w:left w:val="none" w:sz="0" w:space="0" w:color="auto"/>
            <w:bottom w:val="none" w:sz="0" w:space="0" w:color="auto"/>
            <w:right w:val="none" w:sz="0" w:space="0" w:color="auto"/>
          </w:divBdr>
        </w:div>
        <w:div w:id="1480149432">
          <w:marLeft w:val="0"/>
          <w:marRight w:val="0"/>
          <w:marTop w:val="0"/>
          <w:marBottom w:val="0"/>
          <w:divBdr>
            <w:top w:val="none" w:sz="0" w:space="0" w:color="auto"/>
            <w:left w:val="none" w:sz="0" w:space="0" w:color="auto"/>
            <w:bottom w:val="none" w:sz="0" w:space="0" w:color="auto"/>
            <w:right w:val="none" w:sz="0" w:space="0" w:color="auto"/>
          </w:divBdr>
        </w:div>
        <w:div w:id="1853956467">
          <w:marLeft w:val="0"/>
          <w:marRight w:val="0"/>
          <w:marTop w:val="0"/>
          <w:marBottom w:val="0"/>
          <w:divBdr>
            <w:top w:val="none" w:sz="0" w:space="0" w:color="auto"/>
            <w:left w:val="none" w:sz="0" w:space="0" w:color="auto"/>
            <w:bottom w:val="none" w:sz="0" w:space="0" w:color="auto"/>
            <w:right w:val="none" w:sz="0" w:space="0" w:color="auto"/>
          </w:divBdr>
        </w:div>
      </w:divsChild>
    </w:div>
    <w:div w:id="606740911">
      <w:bodyDiv w:val="1"/>
      <w:marLeft w:val="0"/>
      <w:marRight w:val="0"/>
      <w:marTop w:val="0"/>
      <w:marBottom w:val="0"/>
      <w:divBdr>
        <w:top w:val="none" w:sz="0" w:space="0" w:color="auto"/>
        <w:left w:val="none" w:sz="0" w:space="0" w:color="auto"/>
        <w:bottom w:val="none" w:sz="0" w:space="0" w:color="auto"/>
        <w:right w:val="none" w:sz="0" w:space="0" w:color="auto"/>
      </w:divBdr>
    </w:div>
    <w:div w:id="1084452634">
      <w:bodyDiv w:val="1"/>
      <w:marLeft w:val="60"/>
      <w:marRight w:val="60"/>
      <w:marTop w:val="60"/>
      <w:marBottom w:val="15"/>
      <w:divBdr>
        <w:top w:val="none" w:sz="0" w:space="0" w:color="auto"/>
        <w:left w:val="none" w:sz="0" w:space="0" w:color="auto"/>
        <w:bottom w:val="none" w:sz="0" w:space="0" w:color="auto"/>
        <w:right w:val="none" w:sz="0" w:space="0" w:color="auto"/>
      </w:divBdr>
    </w:div>
    <w:div w:id="1420786628">
      <w:bodyDiv w:val="1"/>
      <w:marLeft w:val="0"/>
      <w:marRight w:val="0"/>
      <w:marTop w:val="0"/>
      <w:marBottom w:val="0"/>
      <w:divBdr>
        <w:top w:val="none" w:sz="0" w:space="0" w:color="auto"/>
        <w:left w:val="none" w:sz="0" w:space="0" w:color="auto"/>
        <w:bottom w:val="none" w:sz="0" w:space="0" w:color="auto"/>
        <w:right w:val="none" w:sz="0" w:space="0" w:color="auto"/>
      </w:divBdr>
    </w:div>
    <w:div w:id="1483959357">
      <w:bodyDiv w:val="1"/>
      <w:marLeft w:val="60"/>
      <w:marRight w:val="60"/>
      <w:marTop w:val="60"/>
      <w:marBottom w:val="15"/>
      <w:divBdr>
        <w:top w:val="none" w:sz="0" w:space="0" w:color="auto"/>
        <w:left w:val="none" w:sz="0" w:space="0" w:color="auto"/>
        <w:bottom w:val="none" w:sz="0" w:space="0" w:color="auto"/>
        <w:right w:val="none" w:sz="0" w:space="0" w:color="auto"/>
      </w:divBdr>
      <w:divsChild>
        <w:div w:id="736591479">
          <w:marLeft w:val="0"/>
          <w:marRight w:val="0"/>
          <w:marTop w:val="0"/>
          <w:marBottom w:val="0"/>
          <w:divBdr>
            <w:top w:val="none" w:sz="0" w:space="0" w:color="auto"/>
            <w:left w:val="none" w:sz="0" w:space="0" w:color="auto"/>
            <w:bottom w:val="none" w:sz="0" w:space="0" w:color="auto"/>
            <w:right w:val="none" w:sz="0" w:space="0" w:color="auto"/>
          </w:divBdr>
        </w:div>
      </w:divsChild>
    </w:div>
    <w:div w:id="1659650669">
      <w:bodyDiv w:val="1"/>
      <w:marLeft w:val="0"/>
      <w:marRight w:val="0"/>
      <w:marTop w:val="0"/>
      <w:marBottom w:val="0"/>
      <w:divBdr>
        <w:top w:val="none" w:sz="0" w:space="0" w:color="auto"/>
        <w:left w:val="none" w:sz="0" w:space="0" w:color="auto"/>
        <w:bottom w:val="none" w:sz="0" w:space="0" w:color="auto"/>
        <w:right w:val="none" w:sz="0" w:space="0" w:color="auto"/>
      </w:divBdr>
    </w:div>
    <w:div w:id="1774011252">
      <w:bodyDiv w:val="1"/>
      <w:marLeft w:val="0"/>
      <w:marRight w:val="0"/>
      <w:marTop w:val="0"/>
      <w:marBottom w:val="0"/>
      <w:divBdr>
        <w:top w:val="none" w:sz="0" w:space="0" w:color="auto"/>
        <w:left w:val="none" w:sz="0" w:space="0" w:color="auto"/>
        <w:bottom w:val="none" w:sz="0" w:space="0" w:color="auto"/>
        <w:right w:val="none" w:sz="0" w:space="0" w:color="auto"/>
      </w:divBdr>
    </w:div>
    <w:div w:id="1928729075">
      <w:bodyDiv w:val="1"/>
      <w:marLeft w:val="0"/>
      <w:marRight w:val="0"/>
      <w:marTop w:val="0"/>
      <w:marBottom w:val="0"/>
      <w:divBdr>
        <w:top w:val="none" w:sz="0" w:space="0" w:color="auto"/>
        <w:left w:val="none" w:sz="0" w:space="0" w:color="auto"/>
        <w:bottom w:val="none" w:sz="0" w:space="0" w:color="auto"/>
        <w:right w:val="none" w:sz="0" w:space="0" w:color="auto"/>
      </w:divBdr>
    </w:div>
    <w:div w:id="20678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oleObject" Target="embeddings/Microsoft_Office_Excel_97-2003_Worksheet2.xls"/><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o.gov/new.items/d1094.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02organizations/bpp.ht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99" b="1" i="0" u="none" strike="noStrike" baseline="0">
                <a:solidFill>
                  <a:srgbClr val="000000"/>
                </a:solidFill>
                <a:latin typeface="Arial"/>
                <a:ea typeface="Arial"/>
                <a:cs typeface="Arial"/>
              </a:defRPr>
            </a:pPr>
            <a:r>
              <a:rPr lang="en-US"/>
              <a:t>New Construction Funding  ($000)</a:t>
            </a:r>
          </a:p>
        </c:rich>
      </c:tx>
      <c:layout>
        <c:manualLayout>
          <c:xMode val="edge"/>
          <c:yMode val="edge"/>
          <c:x val="0.29969418960244693"/>
          <c:y val="0"/>
        </c:manualLayout>
      </c:layout>
      <c:spPr>
        <a:noFill/>
        <a:ln w="3173">
          <a:solidFill>
            <a:srgbClr val="000000"/>
          </a:solidFill>
          <a:prstDash val="solid"/>
        </a:ln>
      </c:spPr>
    </c:title>
    <c:plotArea>
      <c:layout>
        <c:manualLayout>
          <c:layoutTarget val="inner"/>
          <c:xMode val="edge"/>
          <c:yMode val="edge"/>
          <c:x val="8.7155963302752465E-2"/>
          <c:y val="9.5427435387674106E-2"/>
          <c:w val="0.91437308868501532"/>
          <c:h val="0.78330019880715629"/>
        </c:manualLayout>
      </c:layout>
      <c:barChart>
        <c:barDir val="col"/>
        <c:grouping val="stacked"/>
        <c:ser>
          <c:idx val="1"/>
          <c:order val="0"/>
          <c:tx>
            <c:strRef>
              <c:f>Sheet1!$A$2</c:f>
              <c:strCache>
                <c:ptCount val="1"/>
                <c:pt idx="0">
                  <c:v> </c:v>
                </c:pt>
              </c:strCache>
            </c:strRef>
          </c:tx>
          <c:spPr>
            <a:solidFill>
              <a:srgbClr val="993366"/>
            </a:solidFill>
            <a:ln w="12694">
              <a:solidFill>
                <a:srgbClr val="000000"/>
              </a:solidFill>
              <a:prstDash val="solid"/>
            </a:ln>
          </c:spPr>
          <c:cat>
            <c:strRef>
              <c:f>Sheet1!$B$1:$M$1</c:f>
              <c:strCache>
                <c:ptCount val="12"/>
                <c:pt idx="0">
                  <c:v>2001</c:v>
                </c:pt>
                <c:pt idx="1">
                  <c:v>2002</c:v>
                </c:pt>
                <c:pt idx="2">
                  <c:v>2003</c:v>
                </c:pt>
                <c:pt idx="3">
                  <c:v>2004</c:v>
                </c:pt>
                <c:pt idx="4">
                  <c:v>2005</c:v>
                </c:pt>
                <c:pt idx="5">
                  <c:v>2006</c:v>
                </c:pt>
                <c:pt idx="6">
                  <c:v>2007</c:v>
                </c:pt>
                <c:pt idx="7">
                  <c:v>2008</c:v>
                </c:pt>
                <c:pt idx="8">
                  <c:v>2009</c:v>
                </c:pt>
                <c:pt idx="9">
                  <c:v>2010</c:v>
                </c:pt>
                <c:pt idx="10">
                  <c:v>2011 CR</c:v>
                </c:pt>
                <c:pt idx="11">
                  <c:v>2012 Congress Request</c:v>
                </c:pt>
              </c:strCache>
            </c:strRef>
          </c:cat>
          <c:val>
            <c:numRef>
              <c:f>Sheet1!$B$2:$M$2</c:f>
              <c:numCache>
                <c:formatCode>#,##0</c:formatCode>
                <c:ptCount val="12"/>
                <c:pt idx="0">
                  <c:v>710816</c:v>
                </c:pt>
                <c:pt idx="1">
                  <c:v>675040</c:v>
                </c:pt>
                <c:pt idx="2">
                  <c:v>262956</c:v>
                </c:pt>
                <c:pt idx="3">
                  <c:v>177840</c:v>
                </c:pt>
                <c:pt idx="4">
                  <c:v>25372</c:v>
                </c:pt>
                <c:pt idx="5">
                  <c:v>48115</c:v>
                </c:pt>
                <c:pt idx="6">
                  <c:v>368875</c:v>
                </c:pt>
                <c:pt idx="7">
                  <c:v>302720</c:v>
                </c:pt>
                <c:pt idx="8">
                  <c:v>465180</c:v>
                </c:pt>
                <c:pt idx="9">
                  <c:v>25386</c:v>
                </c:pt>
                <c:pt idx="10">
                  <c:v>25386</c:v>
                </c:pt>
                <c:pt idx="11">
                  <c:v>25439</c:v>
                </c:pt>
              </c:numCache>
            </c:numRef>
          </c:val>
        </c:ser>
        <c:dLbls/>
        <c:overlap val="100"/>
        <c:axId val="88529152"/>
        <c:axId val="88532864"/>
      </c:barChart>
      <c:catAx>
        <c:axId val="88529152"/>
        <c:scaling>
          <c:orientation val="minMax"/>
        </c:scaling>
        <c:axPos val="b"/>
        <c:numFmt formatCode="General" sourceLinked="1"/>
        <c:tickLblPos val="nextTo"/>
        <c:spPr>
          <a:ln w="3173">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88532864"/>
        <c:crosses val="autoZero"/>
        <c:auto val="1"/>
        <c:lblAlgn val="ctr"/>
        <c:lblOffset val="100"/>
        <c:tickMarkSkip val="1"/>
      </c:catAx>
      <c:valAx>
        <c:axId val="88532864"/>
        <c:scaling>
          <c:orientation val="minMax"/>
          <c:max val="800000"/>
          <c:min val="0"/>
        </c:scaling>
        <c:axPos val="l"/>
        <c:majorGridlines>
          <c:spPr>
            <a:ln w="3173">
              <a:solidFill>
                <a:srgbClr val="000000"/>
              </a:solidFill>
              <a:prstDash val="solid"/>
            </a:ln>
          </c:spPr>
        </c:majorGridlines>
        <c:numFmt formatCode="\$#,##0" sourceLinked="0"/>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8529152"/>
        <c:crosses val="autoZero"/>
        <c:crossBetween val="between"/>
        <c:majorUnit val="200000"/>
      </c:valAx>
      <c:dTable>
        <c:showHorzBorder val="1"/>
        <c:showVertBorder val="1"/>
        <c:showOutline val="1"/>
        <c:spPr>
          <a:ln w="3173">
            <a:solidFill>
              <a:srgbClr val="000000"/>
            </a:solidFill>
            <a:prstDash val="solid"/>
          </a:ln>
        </c:spPr>
        <c:txPr>
          <a:bodyPr/>
          <a:lstStyle/>
          <a:p>
            <a:pPr rtl="0">
              <a:defRPr sz="575" b="1" i="0" u="none" strike="noStrike" baseline="0">
                <a:solidFill>
                  <a:srgbClr val="000000"/>
                </a:solidFill>
                <a:latin typeface="Arial"/>
                <a:ea typeface="Arial"/>
                <a:cs typeface="Arial"/>
              </a:defRPr>
            </a:pPr>
            <a:endParaRPr lang="en-US"/>
          </a:p>
        </c:txPr>
      </c:dTable>
      <c:spPr>
        <a:solidFill>
          <a:srgbClr val="FFFF99"/>
        </a:solidFill>
        <a:ln w="12694">
          <a:solidFill>
            <a:srgbClr val="808080"/>
          </a:solidFill>
          <a:prstDash val="solid"/>
        </a:ln>
      </c:spPr>
    </c:plotArea>
    <c:plotVisOnly val="1"/>
    <c:dispBlanksAs val="gap"/>
  </c:chart>
  <c:spPr>
    <a:noFill/>
    <a:ln>
      <a:noFill/>
    </a:ln>
  </c:spPr>
  <c:txPr>
    <a:bodyPr/>
    <a:lstStyle/>
    <a:p>
      <a:pPr>
        <a:defRPr sz="1874"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48" b="1" i="0" u="none" strike="noStrike" baseline="0">
                <a:solidFill>
                  <a:srgbClr val="000000"/>
                </a:solidFill>
                <a:latin typeface="Arial"/>
                <a:ea typeface="Arial"/>
                <a:cs typeface="Arial"/>
              </a:defRPr>
            </a:pPr>
            <a:r>
              <a:rPr lang="en-US"/>
              <a:t>Modernization &amp; Repair Funding  ($000)</a:t>
            </a:r>
          </a:p>
        </c:rich>
      </c:tx>
      <c:layout>
        <c:manualLayout>
          <c:xMode val="edge"/>
          <c:yMode val="edge"/>
          <c:x val="0.32814930015552102"/>
          <c:y val="1.5452538631346581E-2"/>
        </c:manualLayout>
      </c:layout>
      <c:spPr>
        <a:noFill/>
        <a:ln w="3170">
          <a:solidFill>
            <a:srgbClr val="000000"/>
          </a:solidFill>
          <a:prstDash val="solid"/>
        </a:ln>
      </c:spPr>
    </c:title>
    <c:plotArea>
      <c:layout>
        <c:manualLayout>
          <c:layoutTarget val="inner"/>
          <c:xMode val="edge"/>
          <c:yMode val="edge"/>
          <c:x val="0.10264385692068444"/>
          <c:y val="0.11037527593819002"/>
          <c:w val="0.8989113530326589"/>
          <c:h val="0.75496688741721851"/>
        </c:manualLayout>
      </c:layout>
      <c:barChart>
        <c:barDir val="col"/>
        <c:grouping val="stacked"/>
        <c:ser>
          <c:idx val="0"/>
          <c:order val="0"/>
          <c:tx>
            <c:strRef>
              <c:f>Sheet1!$A$2</c:f>
              <c:strCache>
                <c:ptCount val="1"/>
                <c:pt idx="0">
                  <c:v> </c:v>
                </c:pt>
              </c:strCache>
            </c:strRef>
          </c:tx>
          <c:spPr>
            <a:solidFill>
              <a:srgbClr val="9999FF"/>
            </a:solidFill>
            <a:ln w="12679">
              <a:solidFill>
                <a:srgbClr val="000000"/>
              </a:solidFill>
              <a:prstDash val="solid"/>
            </a:ln>
          </c:spPr>
          <c:cat>
            <c:strRef>
              <c:f>Sheet1!$B$1:$M$1</c:f>
              <c:strCache>
                <c:ptCount val="12"/>
                <c:pt idx="0">
                  <c:v>2001</c:v>
                </c:pt>
                <c:pt idx="1">
                  <c:v>2002</c:v>
                </c:pt>
                <c:pt idx="2">
                  <c:v>2003</c:v>
                </c:pt>
                <c:pt idx="3">
                  <c:v>2004</c:v>
                </c:pt>
                <c:pt idx="4">
                  <c:v>2005</c:v>
                </c:pt>
                <c:pt idx="5">
                  <c:v>2006</c:v>
                </c:pt>
                <c:pt idx="6">
                  <c:v>2007</c:v>
                </c:pt>
                <c:pt idx="7">
                  <c:v>2008</c:v>
                </c:pt>
                <c:pt idx="8">
                  <c:v>2009</c:v>
                </c:pt>
                <c:pt idx="9">
                  <c:v>2010</c:v>
                </c:pt>
                <c:pt idx="10">
                  <c:v>2011 CR</c:v>
                </c:pt>
                <c:pt idx="11">
                  <c:v>2012 Congress Request</c:v>
                </c:pt>
              </c:strCache>
            </c:strRef>
          </c:cat>
          <c:val>
            <c:numRef>
              <c:f>Sheet1!$B$2:$M$2</c:f>
              <c:numCache>
                <c:formatCode>#,##0</c:formatCode>
                <c:ptCount val="12"/>
                <c:pt idx="0">
                  <c:v>123006</c:v>
                </c:pt>
                <c:pt idx="1">
                  <c:v>132768</c:v>
                </c:pt>
                <c:pt idx="2">
                  <c:v>133676</c:v>
                </c:pt>
                <c:pt idx="3">
                  <c:v>163780</c:v>
                </c:pt>
                <c:pt idx="4">
                  <c:v>179704</c:v>
                </c:pt>
                <c:pt idx="5">
                  <c:v>51846</c:v>
                </c:pt>
                <c:pt idx="6">
                  <c:v>63550</c:v>
                </c:pt>
                <c:pt idx="7">
                  <c:v>70000</c:v>
                </c:pt>
                <c:pt idx="8">
                  <c:v>110627</c:v>
                </c:pt>
                <c:pt idx="9">
                  <c:v>73769</c:v>
                </c:pt>
                <c:pt idx="10">
                  <c:v>73769</c:v>
                </c:pt>
                <c:pt idx="11">
                  <c:v>73955</c:v>
                </c:pt>
              </c:numCache>
            </c:numRef>
          </c:val>
        </c:ser>
        <c:dLbls/>
        <c:overlap val="100"/>
        <c:axId val="101273600"/>
        <c:axId val="101275520"/>
      </c:barChart>
      <c:catAx>
        <c:axId val="101273600"/>
        <c:scaling>
          <c:orientation val="minMax"/>
        </c:scaling>
        <c:axPos val="b"/>
        <c:numFmt formatCode="General" sourceLinked="1"/>
        <c:tickLblPos val="nextTo"/>
        <c:spPr>
          <a:ln w="3170">
            <a:solidFill>
              <a:srgbClr val="000000"/>
            </a:solidFill>
            <a:prstDash val="solid"/>
          </a:ln>
        </c:spPr>
        <c:txPr>
          <a:bodyPr rot="0" vert="horz"/>
          <a:lstStyle/>
          <a:p>
            <a:pPr>
              <a:defRPr sz="948" b="1" i="0" u="none" strike="noStrike" baseline="0">
                <a:solidFill>
                  <a:srgbClr val="000000"/>
                </a:solidFill>
                <a:latin typeface="Arial"/>
                <a:ea typeface="Arial"/>
                <a:cs typeface="Arial"/>
              </a:defRPr>
            </a:pPr>
            <a:endParaRPr lang="en-US"/>
          </a:p>
        </c:txPr>
        <c:crossAx val="101275520"/>
        <c:crosses val="autoZero"/>
        <c:auto val="1"/>
        <c:lblAlgn val="ctr"/>
        <c:lblOffset val="100"/>
        <c:tickMarkSkip val="1"/>
      </c:catAx>
      <c:valAx>
        <c:axId val="101275520"/>
        <c:scaling>
          <c:orientation val="minMax"/>
          <c:max val="200000"/>
          <c:min val="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n-US"/>
          </a:p>
        </c:txPr>
        <c:crossAx val="101273600"/>
        <c:crosses val="autoZero"/>
        <c:crossBetween val="between"/>
        <c:majorUnit val="50000"/>
      </c:valAx>
      <c:dTable>
        <c:showHorzBorder val="1"/>
        <c:showVertBorder val="1"/>
        <c:showOutline val="1"/>
        <c:spPr>
          <a:ln w="3170">
            <a:solidFill>
              <a:srgbClr val="000000"/>
            </a:solidFill>
            <a:prstDash val="solid"/>
          </a:ln>
        </c:spPr>
        <c:txPr>
          <a:bodyPr/>
          <a:lstStyle/>
          <a:p>
            <a:pPr rtl="0">
              <a:defRPr sz="574" b="1" i="0" u="none" strike="noStrike" baseline="0">
                <a:solidFill>
                  <a:srgbClr val="000000"/>
                </a:solidFill>
                <a:latin typeface="Arial"/>
                <a:ea typeface="Arial"/>
                <a:cs typeface="Arial"/>
              </a:defRPr>
            </a:pPr>
            <a:endParaRPr lang="en-US"/>
          </a:p>
        </c:txPr>
      </c:dTable>
      <c:spPr>
        <a:solidFill>
          <a:srgbClr val="FFFF99"/>
        </a:solidFill>
        <a:ln w="12679">
          <a:solidFill>
            <a:srgbClr val="808080"/>
          </a:solidFill>
          <a:prstDash val="solid"/>
        </a:ln>
      </c:spPr>
    </c:plotArea>
    <c:plotVisOnly val="1"/>
    <c:dispBlanksAs val="gap"/>
  </c:chart>
  <c:spPr>
    <a:noFill/>
    <a:ln>
      <a:noFill/>
    </a:ln>
  </c:spPr>
  <c:txPr>
    <a:bodyPr/>
    <a:lstStyle/>
    <a:p>
      <a:pPr>
        <a:defRPr sz="1847"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2B66-D6A0-4FDF-AC67-1D454665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11486</Words>
  <Characters>67719</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III</vt:lpstr>
    </vt:vector>
  </TitlesOfParts>
  <Company>U.S Department of Justice</Company>
  <LinksUpToDate>false</LinksUpToDate>
  <CharactersWithSpaces>79047</CharactersWithSpaces>
  <SharedDoc>false</SharedDoc>
  <HLinks>
    <vt:vector size="12" baseType="variant">
      <vt:variant>
        <vt:i4>2228320</vt:i4>
      </vt:variant>
      <vt:variant>
        <vt:i4>5</vt:i4>
      </vt:variant>
      <vt:variant>
        <vt:i4>0</vt:i4>
      </vt:variant>
      <vt:variant>
        <vt:i4>5</vt:i4>
      </vt:variant>
      <vt:variant>
        <vt:lpwstr>http://www.gao.gov/new.items/d1094.pdf</vt:lpwstr>
      </vt:variant>
      <vt:variant>
        <vt:lpwstr/>
      </vt:variant>
      <vt:variant>
        <vt:i4>8126583</vt:i4>
      </vt:variant>
      <vt:variant>
        <vt:i4>2</vt:i4>
      </vt:variant>
      <vt:variant>
        <vt:i4>0</vt:i4>
      </vt:variant>
      <vt:variant>
        <vt:i4>5</vt:i4>
      </vt:variant>
      <vt:variant>
        <vt:lpwstr>http://www.justice.gov/02organizations/bpp.htm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BOP9835</dc:creator>
  <cp:lastModifiedBy>hlee</cp:lastModifiedBy>
  <cp:revision>2</cp:revision>
  <cp:lastPrinted>2011-02-09T13:21:00Z</cp:lastPrinted>
  <dcterms:created xsi:type="dcterms:W3CDTF">2011-02-09T21:03:00Z</dcterms:created>
  <dcterms:modified xsi:type="dcterms:W3CDTF">2011-02-09T21:03:00Z</dcterms:modified>
</cp:coreProperties>
</file>