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D4" w:rsidRDefault="005523D4" w:rsidP="00447A39">
      <w:pPr>
        <w:pStyle w:val="Footer"/>
        <w:tabs>
          <w:tab w:val="clear" w:pos="8640"/>
          <w:tab w:val="left" w:leader="dot" w:pos="4320"/>
        </w:tabs>
        <w:rPr>
          <w:rFonts w:ascii="Arial" w:hAnsi="Arial" w:cs="Arial"/>
          <w:b/>
          <w:sz w:val="32"/>
          <w:u w:val="single"/>
        </w:rPr>
      </w:pPr>
    </w:p>
    <w:p w:rsidR="00DD0C0C" w:rsidRDefault="00DD0C0C" w:rsidP="00447A39">
      <w:pPr>
        <w:pStyle w:val="Footer"/>
        <w:tabs>
          <w:tab w:val="clear" w:pos="8640"/>
          <w:tab w:val="left" w:leader="dot" w:pos="4320"/>
        </w:tabs>
        <w:rPr>
          <w:rFonts w:ascii="Arial" w:hAnsi="Arial" w:cs="Arial"/>
          <w:b/>
          <w:sz w:val="32"/>
          <w:u w:val="single"/>
        </w:rPr>
      </w:pPr>
    </w:p>
    <w:p w:rsidR="00A81059" w:rsidRDefault="00A81059" w:rsidP="00447A39">
      <w:pPr>
        <w:pStyle w:val="Footer"/>
        <w:tabs>
          <w:tab w:val="clear" w:pos="8640"/>
          <w:tab w:val="left" w:leader="dot" w:pos="4320"/>
        </w:tabs>
        <w:rPr>
          <w:rFonts w:ascii="Arial" w:hAnsi="Arial" w:cs="Arial"/>
          <w:b/>
          <w:sz w:val="32"/>
          <w:u w:val="single"/>
        </w:rPr>
      </w:pPr>
    </w:p>
    <w:p w:rsidR="00A81059" w:rsidRDefault="00A81059" w:rsidP="00447A39">
      <w:pPr>
        <w:pStyle w:val="Footer"/>
        <w:tabs>
          <w:tab w:val="clear" w:pos="8640"/>
          <w:tab w:val="left" w:leader="dot" w:pos="4320"/>
        </w:tabs>
        <w:rPr>
          <w:rFonts w:ascii="Arial" w:hAnsi="Arial" w:cs="Arial"/>
          <w:b/>
          <w:sz w:val="32"/>
          <w:u w:val="single"/>
        </w:rPr>
      </w:pPr>
    </w:p>
    <w:p w:rsidR="00A81059" w:rsidRDefault="00A81059" w:rsidP="00447A39">
      <w:pPr>
        <w:pStyle w:val="Footer"/>
        <w:tabs>
          <w:tab w:val="clear" w:pos="8640"/>
          <w:tab w:val="left" w:leader="dot" w:pos="4320"/>
        </w:tabs>
        <w:rPr>
          <w:rFonts w:ascii="Arial" w:hAnsi="Arial" w:cs="Arial"/>
          <w:b/>
          <w:sz w:val="32"/>
          <w:u w:val="single"/>
        </w:rPr>
      </w:pPr>
    </w:p>
    <w:p w:rsidR="00A81059" w:rsidRDefault="00A81059" w:rsidP="00447A39">
      <w:pPr>
        <w:pStyle w:val="Footer"/>
        <w:tabs>
          <w:tab w:val="clear" w:pos="8640"/>
          <w:tab w:val="left" w:leader="dot" w:pos="4320"/>
        </w:tabs>
        <w:rPr>
          <w:rFonts w:ascii="Arial" w:hAnsi="Arial" w:cs="Arial"/>
          <w:b/>
          <w:sz w:val="32"/>
          <w:u w:val="single"/>
        </w:rPr>
      </w:pPr>
    </w:p>
    <w:p w:rsidR="00A81059" w:rsidRDefault="00A81059" w:rsidP="00447A39">
      <w:pPr>
        <w:pStyle w:val="Footer"/>
        <w:tabs>
          <w:tab w:val="clear" w:pos="8640"/>
          <w:tab w:val="left" w:leader="dot" w:pos="4320"/>
        </w:tabs>
        <w:rPr>
          <w:rFonts w:ascii="Arial" w:hAnsi="Arial" w:cs="Arial"/>
          <w:b/>
          <w:sz w:val="32"/>
          <w:u w:val="single"/>
        </w:rPr>
      </w:pPr>
    </w:p>
    <w:p w:rsidR="00A81059" w:rsidRDefault="00A81059" w:rsidP="00447A39">
      <w:pPr>
        <w:pStyle w:val="Footer"/>
        <w:tabs>
          <w:tab w:val="clear" w:pos="8640"/>
          <w:tab w:val="left" w:leader="dot" w:pos="4320"/>
        </w:tabs>
        <w:rPr>
          <w:rFonts w:ascii="Arial" w:hAnsi="Arial" w:cs="Arial"/>
          <w:b/>
          <w:sz w:val="32"/>
          <w:u w:val="single"/>
        </w:rPr>
      </w:pPr>
    </w:p>
    <w:p w:rsidR="00A81059" w:rsidRDefault="00A81059" w:rsidP="00447A39">
      <w:pPr>
        <w:pStyle w:val="Footer"/>
        <w:tabs>
          <w:tab w:val="clear" w:pos="8640"/>
          <w:tab w:val="left" w:leader="dot" w:pos="4320"/>
        </w:tabs>
        <w:rPr>
          <w:rFonts w:ascii="Arial" w:hAnsi="Arial" w:cs="Arial"/>
          <w:b/>
          <w:sz w:val="32"/>
          <w:u w:val="single"/>
        </w:rPr>
      </w:pPr>
    </w:p>
    <w:p w:rsidR="00A81059" w:rsidRDefault="00A81059" w:rsidP="00447A39">
      <w:pPr>
        <w:pStyle w:val="Footer"/>
        <w:tabs>
          <w:tab w:val="clear" w:pos="8640"/>
          <w:tab w:val="left" w:leader="dot" w:pos="4320"/>
        </w:tabs>
        <w:rPr>
          <w:rFonts w:ascii="Arial" w:hAnsi="Arial" w:cs="Arial"/>
          <w:b/>
          <w:sz w:val="32"/>
          <w:u w:val="single"/>
        </w:rPr>
      </w:pPr>
    </w:p>
    <w:p w:rsidR="00A81059" w:rsidRPr="008220C1" w:rsidRDefault="00A81059" w:rsidP="00447A39">
      <w:pPr>
        <w:pStyle w:val="Footer"/>
        <w:tabs>
          <w:tab w:val="clear" w:pos="8640"/>
          <w:tab w:val="left" w:leader="dot" w:pos="4320"/>
        </w:tabs>
        <w:rPr>
          <w:rFonts w:ascii="Arial" w:hAnsi="Arial" w:cs="Arial"/>
          <w:b/>
          <w:sz w:val="32"/>
          <w:u w:val="single"/>
        </w:rPr>
      </w:pPr>
    </w:p>
    <w:p w:rsidR="00650AB3" w:rsidRDefault="00BB4488" w:rsidP="00BB4488">
      <w:pPr>
        <w:pStyle w:val="Footer"/>
        <w:tabs>
          <w:tab w:val="clear" w:pos="8640"/>
          <w:tab w:val="left" w:leader="dot" w:pos="4320"/>
        </w:tabs>
        <w:rPr>
          <w:rFonts w:ascii="Times New Roman" w:hAnsi="Times New Roman"/>
          <w:b/>
          <w:sz w:val="36"/>
        </w:rPr>
      </w:pPr>
      <w:r>
        <w:rPr>
          <w:rFonts w:ascii="Times New Roman" w:hAnsi="Times New Roman"/>
          <w:b/>
          <w:sz w:val="36"/>
        </w:rPr>
        <w:t xml:space="preserve">                             Congressional Submission</w:t>
      </w:r>
    </w:p>
    <w:p w:rsidR="00650AB3" w:rsidRDefault="00650AB3">
      <w:pPr>
        <w:pStyle w:val="Footer"/>
        <w:tabs>
          <w:tab w:val="clear" w:pos="8640"/>
          <w:tab w:val="left" w:leader="dot" w:pos="4320"/>
        </w:tabs>
        <w:jc w:val="center"/>
        <w:rPr>
          <w:rFonts w:ascii="Times New Roman" w:hAnsi="Times New Roman"/>
          <w:b/>
          <w:sz w:val="36"/>
        </w:rPr>
      </w:pPr>
    </w:p>
    <w:p w:rsidR="00650AB3" w:rsidRDefault="00650AB3">
      <w:pPr>
        <w:pStyle w:val="Footer"/>
        <w:tabs>
          <w:tab w:val="clear" w:pos="8640"/>
          <w:tab w:val="left" w:leader="dot" w:pos="4320"/>
        </w:tabs>
        <w:jc w:val="center"/>
        <w:rPr>
          <w:rFonts w:ascii="Times New Roman" w:hAnsi="Times New Roman"/>
          <w:b/>
          <w:sz w:val="36"/>
        </w:rPr>
      </w:pPr>
      <w:r>
        <w:rPr>
          <w:rFonts w:ascii="Times New Roman" w:hAnsi="Times New Roman"/>
          <w:b/>
          <w:sz w:val="36"/>
        </w:rPr>
        <w:t>FOREIGN CLAIMS SETTLEMENT COMMISSION</w:t>
      </w:r>
    </w:p>
    <w:p w:rsidR="00650AB3" w:rsidRDefault="00650AB3">
      <w:pPr>
        <w:pStyle w:val="Footer"/>
        <w:tabs>
          <w:tab w:val="clear" w:pos="8640"/>
          <w:tab w:val="left" w:leader="dot" w:pos="4320"/>
        </w:tabs>
        <w:jc w:val="center"/>
        <w:rPr>
          <w:rFonts w:ascii="Times New Roman" w:hAnsi="Times New Roman"/>
          <w:b/>
          <w:sz w:val="36"/>
        </w:rPr>
      </w:pPr>
    </w:p>
    <w:p w:rsidR="00650AB3" w:rsidRDefault="00650AB3">
      <w:pPr>
        <w:pStyle w:val="Footer"/>
        <w:tabs>
          <w:tab w:val="clear" w:pos="8640"/>
          <w:tab w:val="left" w:leader="dot" w:pos="4320"/>
        </w:tabs>
        <w:jc w:val="center"/>
        <w:rPr>
          <w:rFonts w:ascii="Times New Roman" w:hAnsi="Times New Roman"/>
          <w:b/>
          <w:sz w:val="36"/>
        </w:rPr>
      </w:pPr>
    </w:p>
    <w:p w:rsidR="005523D4" w:rsidRDefault="005523D4">
      <w:pPr>
        <w:pStyle w:val="Footer"/>
        <w:tabs>
          <w:tab w:val="clear" w:pos="8640"/>
          <w:tab w:val="left" w:leader="dot" w:pos="4320"/>
        </w:tabs>
        <w:jc w:val="center"/>
        <w:rPr>
          <w:rFonts w:ascii="Times New Roman" w:hAnsi="Times New Roman"/>
          <w:b/>
          <w:sz w:val="36"/>
        </w:rPr>
      </w:pPr>
      <w:r>
        <w:rPr>
          <w:rFonts w:ascii="Times New Roman" w:hAnsi="Times New Roman"/>
          <w:b/>
          <w:sz w:val="36"/>
        </w:rPr>
        <w:t>U.S. Department of Justice</w:t>
      </w:r>
    </w:p>
    <w:p w:rsidR="005523D4" w:rsidRDefault="005523D4">
      <w:pPr>
        <w:pStyle w:val="Footer"/>
        <w:tabs>
          <w:tab w:val="clear" w:pos="8640"/>
          <w:tab w:val="left" w:leader="dot" w:pos="4320"/>
        </w:tabs>
        <w:jc w:val="center"/>
        <w:rPr>
          <w:rFonts w:ascii="Times New Roman" w:hAnsi="Times New Roman"/>
          <w:b/>
        </w:rPr>
      </w:pPr>
    </w:p>
    <w:p w:rsidR="005523D4" w:rsidRDefault="00592FB2">
      <w:pPr>
        <w:pStyle w:val="Footer"/>
        <w:tabs>
          <w:tab w:val="clear" w:pos="8640"/>
          <w:tab w:val="left" w:leader="dot" w:pos="4320"/>
        </w:tabs>
        <w:jc w:val="center"/>
        <w:rPr>
          <w:rFonts w:ascii="Times New Roman" w:hAnsi="Times New Roman" w:cs="Arial"/>
          <w:b/>
          <w:sz w:val="36"/>
        </w:rPr>
      </w:pPr>
      <w:r>
        <w:rPr>
          <w:rFonts w:ascii="Times New Roman" w:hAnsi="Times New Roman" w:cs="Arial"/>
          <w:b/>
          <w:sz w:val="36"/>
        </w:rPr>
        <w:t>FY 2012</w:t>
      </w:r>
      <w:r w:rsidR="005523D4">
        <w:rPr>
          <w:rFonts w:ascii="Times New Roman" w:hAnsi="Times New Roman" w:cs="Arial"/>
          <w:b/>
          <w:sz w:val="36"/>
        </w:rPr>
        <w:t xml:space="preserve"> PERFORMANCE BUDGET</w:t>
      </w:r>
    </w:p>
    <w:p w:rsidR="002B1B2F" w:rsidRDefault="002B1B2F">
      <w:pPr>
        <w:pStyle w:val="xl27"/>
        <w:tabs>
          <w:tab w:val="right" w:pos="8928"/>
        </w:tabs>
        <w:spacing w:before="0" w:after="0"/>
        <w:outlineLvl w:val="0"/>
        <w:rPr>
          <w:rFonts w:ascii="Times New Roman" w:eastAsia="Times New Roman" w:hAnsi="Times New Roman"/>
          <w:szCs w:val="24"/>
        </w:rPr>
      </w:pPr>
    </w:p>
    <w:p w:rsidR="005523D4" w:rsidRDefault="005523D4">
      <w:pPr>
        <w:pStyle w:val="xl27"/>
        <w:tabs>
          <w:tab w:val="right" w:pos="8928"/>
        </w:tabs>
        <w:spacing w:before="0" w:after="0"/>
        <w:outlineLvl w:val="0"/>
        <w:rPr>
          <w:rFonts w:ascii="Times New Roman" w:eastAsia="Times New Roman" w:hAnsi="Times New Roman"/>
          <w:szCs w:val="24"/>
        </w:rPr>
      </w:pPr>
      <w:r>
        <w:rPr>
          <w:rFonts w:ascii="Times New Roman" w:eastAsia="Times New Roman" w:hAnsi="Times New Roman"/>
          <w:szCs w:val="24"/>
        </w:rPr>
        <w:t xml:space="preserve">    </w:t>
      </w:r>
    </w:p>
    <w:p w:rsidR="005523D4" w:rsidRDefault="005523D4">
      <w:pPr>
        <w:pStyle w:val="Heading1"/>
        <w:tabs>
          <w:tab w:val="left" w:leader="dot" w:pos="7920"/>
          <w:tab w:val="right" w:pos="8640"/>
        </w:tabs>
        <w:jc w:val="left"/>
        <w:rPr>
          <w:rFonts w:ascii="Times New Roman" w:hAnsi="Times New Roman"/>
        </w:rPr>
        <w:sectPr w:rsidR="005523D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432" w:footer="432" w:gutter="0"/>
          <w:pgNumType w:start="0"/>
          <w:cols w:space="720"/>
          <w:titlePg/>
        </w:sectPr>
      </w:pPr>
    </w:p>
    <w:p w:rsidR="005523D4" w:rsidRDefault="005523D4">
      <w:pPr>
        <w:pStyle w:val="Heading1"/>
        <w:tabs>
          <w:tab w:val="left" w:leader="dot" w:pos="7920"/>
          <w:tab w:val="right" w:pos="8640"/>
        </w:tabs>
        <w:rPr>
          <w:rFonts w:ascii="Times New Roman" w:hAnsi="Times New Roman"/>
        </w:rPr>
      </w:pPr>
      <w:r>
        <w:rPr>
          <w:rFonts w:ascii="Times New Roman" w:hAnsi="Times New Roman"/>
        </w:rPr>
        <w:lastRenderedPageBreak/>
        <w:t>Table of Contents</w:t>
      </w:r>
    </w:p>
    <w:p w:rsidR="005523D4" w:rsidRDefault="005523D4">
      <w:pPr>
        <w:tabs>
          <w:tab w:val="left" w:leader="dot" w:pos="7920"/>
          <w:tab w:val="right" w:pos="8640"/>
        </w:tabs>
        <w:rPr>
          <w:b/>
        </w:rPr>
      </w:pPr>
    </w:p>
    <w:p w:rsidR="005523D4" w:rsidRDefault="005523D4">
      <w:pPr>
        <w:pStyle w:val="xl19"/>
        <w:tabs>
          <w:tab w:val="right" w:pos="8730"/>
        </w:tabs>
        <w:spacing w:before="0" w:after="0"/>
        <w:outlineLvl w:val="0"/>
        <w:rPr>
          <w:rFonts w:eastAsia="Times New Roman"/>
          <w:bCs/>
        </w:rPr>
      </w:pPr>
      <w:r>
        <w:rPr>
          <w:rFonts w:eastAsia="Times New Roman"/>
          <w:bCs/>
        </w:rPr>
        <w:tab/>
        <w:t>Page No.</w:t>
      </w:r>
    </w:p>
    <w:p w:rsidR="005523D4" w:rsidRDefault="005523D4">
      <w:pPr>
        <w:tabs>
          <w:tab w:val="left" w:leader="dot" w:pos="7920"/>
          <w:tab w:val="right" w:pos="8640"/>
        </w:tabs>
        <w:rPr>
          <w:bCs/>
        </w:rPr>
      </w:pPr>
    </w:p>
    <w:p w:rsidR="005523D4" w:rsidRDefault="005523D4">
      <w:pPr>
        <w:pStyle w:val="xl19"/>
        <w:tabs>
          <w:tab w:val="left" w:leader="dot" w:pos="7920"/>
          <w:tab w:val="right" w:pos="8640"/>
        </w:tabs>
        <w:spacing w:before="0" w:after="0"/>
        <w:rPr>
          <w:b/>
          <w:bCs/>
        </w:rPr>
      </w:pPr>
    </w:p>
    <w:p w:rsidR="005523D4" w:rsidRDefault="005523D4" w:rsidP="00E83497">
      <w:pPr>
        <w:pStyle w:val="xl19"/>
        <w:tabs>
          <w:tab w:val="left" w:leader="dot" w:pos="7920"/>
          <w:tab w:val="right" w:pos="8640"/>
        </w:tabs>
        <w:spacing w:before="0" w:after="0"/>
        <w:rPr>
          <w:b/>
          <w:bCs/>
        </w:rPr>
      </w:pPr>
      <w:r>
        <w:rPr>
          <w:b/>
          <w:bCs/>
        </w:rPr>
        <w:t xml:space="preserve">I.  </w:t>
      </w:r>
      <w:r w:rsidR="00724DF4">
        <w:rPr>
          <w:b/>
          <w:bCs/>
        </w:rPr>
        <w:t xml:space="preserve">    </w:t>
      </w:r>
      <w:r w:rsidR="001E3448">
        <w:rPr>
          <w:b/>
          <w:bCs/>
        </w:rPr>
        <w:t xml:space="preserve"> </w:t>
      </w:r>
      <w:r>
        <w:rPr>
          <w:b/>
          <w:bCs/>
        </w:rPr>
        <w:t>Overview</w:t>
      </w:r>
      <w:r w:rsidRPr="0061498C">
        <w:rPr>
          <w:bCs/>
        </w:rPr>
        <w:t xml:space="preserve"> </w:t>
      </w:r>
      <w:r w:rsidR="0061498C" w:rsidRPr="0061498C">
        <w:rPr>
          <w:bCs/>
        </w:rPr>
        <w:tab/>
      </w:r>
      <w:r w:rsidR="0061498C">
        <w:rPr>
          <w:b/>
          <w:bCs/>
        </w:rPr>
        <w:tab/>
      </w:r>
      <w:r w:rsidR="0061498C" w:rsidRPr="0061498C">
        <w:rPr>
          <w:bCs/>
        </w:rPr>
        <w:t>1</w:t>
      </w:r>
    </w:p>
    <w:p w:rsidR="005523D4" w:rsidRDefault="005523D4">
      <w:pPr>
        <w:tabs>
          <w:tab w:val="left" w:leader="dot" w:pos="7920"/>
          <w:tab w:val="right" w:pos="8640"/>
        </w:tabs>
        <w:rPr>
          <w:bCs/>
        </w:rPr>
      </w:pPr>
    </w:p>
    <w:p w:rsidR="005523D4" w:rsidRDefault="005523D4">
      <w:pPr>
        <w:pStyle w:val="xl19"/>
        <w:tabs>
          <w:tab w:val="left" w:leader="dot" w:pos="7920"/>
          <w:tab w:val="right" w:pos="8640"/>
        </w:tabs>
        <w:spacing w:before="0" w:after="0"/>
      </w:pPr>
      <w:r>
        <w:rPr>
          <w:b/>
          <w:bCs/>
        </w:rPr>
        <w:t xml:space="preserve">II.  </w:t>
      </w:r>
      <w:r w:rsidR="00724DF4">
        <w:rPr>
          <w:b/>
          <w:bCs/>
        </w:rPr>
        <w:t xml:space="preserve"> </w:t>
      </w:r>
      <w:r w:rsidR="001E3448">
        <w:rPr>
          <w:b/>
          <w:bCs/>
        </w:rPr>
        <w:t xml:space="preserve"> </w:t>
      </w:r>
      <w:r w:rsidR="00724DF4">
        <w:rPr>
          <w:b/>
          <w:bCs/>
        </w:rPr>
        <w:t xml:space="preserve"> </w:t>
      </w:r>
      <w:r>
        <w:rPr>
          <w:b/>
          <w:bCs/>
        </w:rPr>
        <w:t>Summary of Program Changes</w:t>
      </w:r>
      <w:r>
        <w:tab/>
      </w:r>
      <w:r w:rsidR="0061498C">
        <w:tab/>
      </w:r>
      <w:r w:rsidR="00B020EF">
        <w:t xml:space="preserve">   </w:t>
      </w:r>
      <w:r w:rsidR="002043A9">
        <w:t>NA</w:t>
      </w:r>
    </w:p>
    <w:p w:rsidR="000105B6" w:rsidRDefault="000105B6">
      <w:pPr>
        <w:pStyle w:val="xl19"/>
        <w:tabs>
          <w:tab w:val="left" w:leader="dot" w:pos="7920"/>
          <w:tab w:val="right" w:pos="8640"/>
        </w:tabs>
        <w:spacing w:before="0" w:after="0"/>
      </w:pPr>
    </w:p>
    <w:p w:rsidR="00724DF4" w:rsidRPr="00724DF4" w:rsidRDefault="001E3448">
      <w:pPr>
        <w:pStyle w:val="xl27"/>
        <w:tabs>
          <w:tab w:val="left" w:leader="dot" w:pos="7920"/>
          <w:tab w:val="right" w:pos="8640"/>
        </w:tabs>
        <w:spacing w:before="0" w:after="0"/>
        <w:rPr>
          <w:rFonts w:ascii="Times New Roman" w:eastAsia="Times New Roman" w:hAnsi="Times New Roman" w:cs="Arial"/>
          <w:b w:val="0"/>
          <w:szCs w:val="24"/>
        </w:rPr>
      </w:pPr>
      <w:r>
        <w:rPr>
          <w:rFonts w:ascii="Times New Roman" w:eastAsia="Times New Roman" w:hAnsi="Times New Roman" w:cs="Arial"/>
          <w:szCs w:val="24"/>
        </w:rPr>
        <w:t>III.</w:t>
      </w:r>
      <w:r w:rsidR="0093494B">
        <w:rPr>
          <w:rFonts w:ascii="Times New Roman" w:eastAsia="Times New Roman" w:hAnsi="Times New Roman" w:cs="Arial"/>
          <w:szCs w:val="24"/>
        </w:rPr>
        <w:t xml:space="preserve">  </w:t>
      </w:r>
      <w:r>
        <w:rPr>
          <w:rFonts w:ascii="Times New Roman" w:eastAsia="Times New Roman" w:hAnsi="Times New Roman" w:cs="Arial"/>
          <w:szCs w:val="24"/>
        </w:rPr>
        <w:t xml:space="preserve"> </w:t>
      </w:r>
      <w:r w:rsidR="0065414B">
        <w:rPr>
          <w:rFonts w:ascii="Times New Roman" w:eastAsia="Times New Roman" w:hAnsi="Times New Roman" w:cs="Arial"/>
          <w:szCs w:val="24"/>
        </w:rPr>
        <w:t>Appropriations</w:t>
      </w:r>
      <w:r w:rsidR="00724DF4">
        <w:rPr>
          <w:rFonts w:ascii="Times New Roman" w:eastAsia="Times New Roman" w:hAnsi="Times New Roman" w:cs="Arial"/>
          <w:szCs w:val="24"/>
        </w:rPr>
        <w:t xml:space="preserve"> Language and Analysis of Appropriations Language</w:t>
      </w:r>
      <w:r w:rsidR="00724DF4" w:rsidRPr="00724DF4">
        <w:rPr>
          <w:rFonts w:ascii="Times New Roman" w:eastAsia="Times New Roman" w:hAnsi="Times New Roman" w:cs="Arial"/>
          <w:b w:val="0"/>
          <w:szCs w:val="24"/>
        </w:rPr>
        <w:tab/>
      </w:r>
      <w:r w:rsidR="00610C6C">
        <w:rPr>
          <w:rFonts w:ascii="Times New Roman" w:eastAsia="Times New Roman" w:hAnsi="Times New Roman" w:cs="Arial"/>
          <w:b w:val="0"/>
          <w:szCs w:val="24"/>
        </w:rPr>
        <w:tab/>
        <w:t>4</w:t>
      </w:r>
    </w:p>
    <w:p w:rsidR="00724DF4" w:rsidRDefault="00724DF4">
      <w:pPr>
        <w:pStyle w:val="xl27"/>
        <w:tabs>
          <w:tab w:val="left" w:leader="dot" w:pos="7920"/>
          <w:tab w:val="right" w:pos="8640"/>
        </w:tabs>
        <w:spacing w:before="0" w:after="0"/>
        <w:rPr>
          <w:rFonts w:ascii="Times New Roman" w:eastAsia="Times New Roman" w:hAnsi="Times New Roman" w:cs="Arial"/>
          <w:szCs w:val="24"/>
        </w:rPr>
      </w:pPr>
    </w:p>
    <w:p w:rsidR="005523D4" w:rsidRDefault="001E3448">
      <w:pPr>
        <w:pStyle w:val="xl27"/>
        <w:tabs>
          <w:tab w:val="left" w:leader="dot" w:pos="7920"/>
          <w:tab w:val="right" w:pos="8640"/>
        </w:tabs>
        <w:spacing w:before="0" w:after="0"/>
        <w:rPr>
          <w:rFonts w:ascii="Times New Roman" w:eastAsia="Times New Roman" w:hAnsi="Times New Roman" w:cs="Arial"/>
          <w:szCs w:val="24"/>
        </w:rPr>
      </w:pPr>
      <w:r>
        <w:rPr>
          <w:rFonts w:ascii="Times New Roman" w:eastAsia="Times New Roman" w:hAnsi="Times New Roman" w:cs="Arial"/>
          <w:szCs w:val="24"/>
        </w:rPr>
        <w:t>IV.</w:t>
      </w:r>
      <w:r w:rsidR="0025082A">
        <w:rPr>
          <w:rFonts w:ascii="Times New Roman" w:eastAsia="Times New Roman" w:hAnsi="Times New Roman" w:cs="Arial"/>
          <w:szCs w:val="24"/>
        </w:rPr>
        <w:t xml:space="preserve"> </w:t>
      </w:r>
      <w:r w:rsidR="007851A4">
        <w:rPr>
          <w:rFonts w:ascii="Times New Roman" w:eastAsia="Times New Roman" w:hAnsi="Times New Roman" w:cs="Arial"/>
          <w:szCs w:val="24"/>
        </w:rPr>
        <w:t xml:space="preserve">  </w:t>
      </w:r>
      <w:r w:rsidR="005523D4">
        <w:rPr>
          <w:rFonts w:ascii="Times New Roman" w:eastAsia="Times New Roman" w:hAnsi="Times New Roman" w:cs="Arial"/>
          <w:szCs w:val="24"/>
        </w:rPr>
        <w:t>Decision Unit Justification</w:t>
      </w:r>
    </w:p>
    <w:p w:rsidR="005523D4" w:rsidRDefault="005523D4">
      <w:pPr>
        <w:tabs>
          <w:tab w:val="left" w:leader="dot" w:pos="7920"/>
          <w:tab w:val="right" w:pos="8640"/>
        </w:tabs>
        <w:rPr>
          <w:bCs/>
        </w:rPr>
      </w:pPr>
      <w:r>
        <w:rPr>
          <w:bCs/>
        </w:rPr>
        <w:t xml:space="preserve">     </w:t>
      </w:r>
    </w:p>
    <w:p w:rsidR="005523D4" w:rsidRDefault="005523D4">
      <w:pPr>
        <w:tabs>
          <w:tab w:val="left" w:leader="dot" w:pos="7920"/>
          <w:tab w:val="right" w:pos="8640"/>
        </w:tabs>
        <w:rPr>
          <w:bCs/>
        </w:rPr>
      </w:pPr>
      <w:r>
        <w:rPr>
          <w:bCs/>
        </w:rPr>
        <w:t xml:space="preserve">     A.  </w:t>
      </w:r>
      <w:r w:rsidR="00D25A2F">
        <w:rPr>
          <w:bCs/>
        </w:rPr>
        <w:t>Foreign Claims</w:t>
      </w:r>
    </w:p>
    <w:p w:rsidR="005523D4" w:rsidRDefault="005523D4">
      <w:pPr>
        <w:tabs>
          <w:tab w:val="left" w:leader="dot" w:pos="7920"/>
          <w:tab w:val="right" w:pos="8640"/>
        </w:tabs>
        <w:rPr>
          <w:bCs/>
        </w:rPr>
      </w:pPr>
      <w:r>
        <w:rPr>
          <w:bCs/>
        </w:rPr>
        <w:t xml:space="preserve">           1.  Program Description</w:t>
      </w:r>
      <w:r w:rsidR="0061498C">
        <w:rPr>
          <w:bCs/>
        </w:rPr>
        <w:tab/>
      </w:r>
      <w:r w:rsidR="0061498C">
        <w:rPr>
          <w:bCs/>
        </w:rPr>
        <w:tab/>
      </w:r>
      <w:r w:rsidR="00610C6C">
        <w:rPr>
          <w:bCs/>
        </w:rPr>
        <w:t>5</w:t>
      </w:r>
    </w:p>
    <w:p w:rsidR="005523D4" w:rsidRDefault="005523D4">
      <w:pPr>
        <w:tabs>
          <w:tab w:val="left" w:leader="dot" w:pos="7920"/>
          <w:tab w:val="right" w:pos="8640"/>
        </w:tabs>
        <w:rPr>
          <w:bCs/>
        </w:rPr>
      </w:pPr>
      <w:r>
        <w:rPr>
          <w:bCs/>
        </w:rPr>
        <w:t xml:space="preserve">           2.  Performance Tables</w:t>
      </w:r>
      <w:r w:rsidR="000A41D1">
        <w:rPr>
          <w:bCs/>
        </w:rPr>
        <w:tab/>
      </w:r>
      <w:r w:rsidR="000A41D1">
        <w:rPr>
          <w:bCs/>
        </w:rPr>
        <w:tab/>
      </w:r>
      <w:r w:rsidR="00610C6C">
        <w:rPr>
          <w:bCs/>
        </w:rPr>
        <w:t>7</w:t>
      </w:r>
    </w:p>
    <w:p w:rsidR="0093494B" w:rsidRDefault="005523D4" w:rsidP="00E83497">
      <w:pPr>
        <w:tabs>
          <w:tab w:val="left" w:leader="dot" w:pos="7920"/>
          <w:tab w:val="right" w:pos="8640"/>
        </w:tabs>
      </w:pPr>
      <w:r>
        <w:rPr>
          <w:bCs/>
        </w:rPr>
        <w:t xml:space="preserve">           3.  </w:t>
      </w:r>
      <w:r>
        <w:t>Performance, Resources, and Strategies</w:t>
      </w:r>
      <w:r w:rsidR="00610C6C">
        <w:tab/>
      </w:r>
      <w:r w:rsidR="00610C6C">
        <w:tab/>
        <w:t xml:space="preserve"> 9</w:t>
      </w:r>
    </w:p>
    <w:p w:rsidR="00B020EF" w:rsidRDefault="00B020EF" w:rsidP="00E83497">
      <w:pPr>
        <w:tabs>
          <w:tab w:val="left" w:leader="dot" w:pos="7920"/>
          <w:tab w:val="right" w:pos="8640"/>
        </w:tabs>
      </w:pPr>
    </w:p>
    <w:p w:rsidR="00B020EF" w:rsidRPr="00610C6C" w:rsidRDefault="001E3448" w:rsidP="00E83497">
      <w:pPr>
        <w:tabs>
          <w:tab w:val="left" w:leader="dot" w:pos="7920"/>
          <w:tab w:val="right" w:pos="8640"/>
        </w:tabs>
      </w:pPr>
      <w:r>
        <w:rPr>
          <w:b/>
        </w:rPr>
        <w:t>V.</w:t>
      </w:r>
      <w:r w:rsidR="00B020EF">
        <w:rPr>
          <w:b/>
        </w:rPr>
        <w:t xml:space="preserve">     Program Increases by Item </w:t>
      </w:r>
      <w:r w:rsidR="00B020EF" w:rsidRPr="00610C6C">
        <w:t xml:space="preserve">………………………………………………….   </w:t>
      </w:r>
      <w:r w:rsidR="00FD2E11">
        <w:t xml:space="preserve"> </w:t>
      </w:r>
      <w:r w:rsidR="00B020EF" w:rsidRPr="00610C6C">
        <w:t xml:space="preserve"> </w:t>
      </w:r>
      <w:r w:rsidR="00096B52">
        <w:t xml:space="preserve"> NA</w:t>
      </w:r>
    </w:p>
    <w:p w:rsidR="00B020EF" w:rsidRPr="00610C6C" w:rsidRDefault="00B020EF" w:rsidP="00E83497">
      <w:pPr>
        <w:tabs>
          <w:tab w:val="left" w:leader="dot" w:pos="7920"/>
          <w:tab w:val="right" w:pos="8640"/>
        </w:tabs>
      </w:pPr>
    </w:p>
    <w:p w:rsidR="00B020EF" w:rsidRPr="00892155" w:rsidRDefault="001E3448" w:rsidP="00E83497">
      <w:pPr>
        <w:tabs>
          <w:tab w:val="left" w:leader="dot" w:pos="7920"/>
          <w:tab w:val="right" w:pos="8640"/>
        </w:tabs>
      </w:pPr>
      <w:r>
        <w:rPr>
          <w:b/>
        </w:rPr>
        <w:t xml:space="preserve">VI.   </w:t>
      </w:r>
      <w:r w:rsidR="00B020EF">
        <w:rPr>
          <w:b/>
        </w:rPr>
        <w:t xml:space="preserve"> Program Offsets by Item </w:t>
      </w:r>
      <w:r w:rsidR="00B020EF" w:rsidRPr="00610C6C">
        <w:t>…………………………………………………….</w:t>
      </w:r>
      <w:r w:rsidR="00B020EF" w:rsidRPr="00610C6C">
        <w:rPr>
          <w:b/>
        </w:rPr>
        <w:t xml:space="preserve">    </w:t>
      </w:r>
      <w:r w:rsidR="00FD2E11">
        <w:rPr>
          <w:b/>
        </w:rPr>
        <w:t xml:space="preserve"> </w:t>
      </w:r>
      <w:r w:rsidR="0068132E">
        <w:rPr>
          <w:b/>
        </w:rPr>
        <w:t xml:space="preserve"> </w:t>
      </w:r>
      <w:r>
        <w:rPr>
          <w:b/>
        </w:rPr>
        <w:t xml:space="preserve"> </w:t>
      </w:r>
      <w:r w:rsidR="00892155" w:rsidRPr="00892155">
        <w:t>10</w:t>
      </w:r>
    </w:p>
    <w:p w:rsidR="005523D4" w:rsidRPr="00610C6C" w:rsidRDefault="005523D4">
      <w:pPr>
        <w:tabs>
          <w:tab w:val="left" w:leader="dot" w:pos="7920"/>
          <w:tab w:val="right" w:pos="8640"/>
        </w:tabs>
        <w:rPr>
          <w:b/>
          <w:bCs/>
        </w:rPr>
      </w:pPr>
      <w:r w:rsidRPr="00610C6C">
        <w:rPr>
          <w:b/>
          <w:bCs/>
        </w:rPr>
        <w:t xml:space="preserve">        </w:t>
      </w:r>
      <w:r w:rsidR="0065414B" w:rsidRPr="00610C6C">
        <w:rPr>
          <w:b/>
          <w:bCs/>
        </w:rPr>
        <w:t xml:space="preserve">        </w:t>
      </w:r>
    </w:p>
    <w:p w:rsidR="005523D4" w:rsidRPr="0065414B" w:rsidRDefault="007851A4">
      <w:pPr>
        <w:pStyle w:val="xl27"/>
        <w:tabs>
          <w:tab w:val="left" w:leader="dot" w:pos="7920"/>
          <w:tab w:val="right" w:pos="8640"/>
        </w:tabs>
        <w:spacing w:before="0" w:after="0"/>
        <w:rPr>
          <w:rFonts w:ascii="Times New Roman" w:eastAsia="Times New Roman" w:hAnsi="Times New Roman"/>
          <w:b w:val="0"/>
          <w:bCs/>
          <w:szCs w:val="24"/>
        </w:rPr>
      </w:pPr>
      <w:r>
        <w:rPr>
          <w:rFonts w:ascii="Times New Roman" w:eastAsia="Times New Roman" w:hAnsi="Times New Roman"/>
          <w:bCs/>
          <w:szCs w:val="24"/>
        </w:rPr>
        <w:t>VII</w:t>
      </w:r>
      <w:r w:rsidR="001E3448">
        <w:rPr>
          <w:rFonts w:ascii="Times New Roman" w:eastAsia="Times New Roman" w:hAnsi="Times New Roman"/>
          <w:bCs/>
          <w:szCs w:val="24"/>
        </w:rPr>
        <w:t xml:space="preserve">.  </w:t>
      </w:r>
      <w:r w:rsidR="005523D4">
        <w:rPr>
          <w:rFonts w:ascii="Times New Roman" w:eastAsia="Times New Roman" w:hAnsi="Times New Roman"/>
          <w:bCs/>
          <w:szCs w:val="24"/>
        </w:rPr>
        <w:t xml:space="preserve"> Exhibits</w:t>
      </w:r>
      <w:r w:rsidR="0065414B">
        <w:rPr>
          <w:rFonts w:ascii="Times New Roman" w:eastAsia="Times New Roman" w:hAnsi="Times New Roman"/>
          <w:b w:val="0"/>
          <w:bCs/>
          <w:szCs w:val="24"/>
        </w:rPr>
        <w:t>………</w:t>
      </w:r>
      <w:r w:rsidR="00D053D3">
        <w:rPr>
          <w:rFonts w:ascii="Times New Roman" w:eastAsia="Times New Roman" w:hAnsi="Times New Roman"/>
          <w:b w:val="0"/>
          <w:bCs/>
          <w:szCs w:val="24"/>
        </w:rPr>
        <w:t>………………………………………………………………</w:t>
      </w:r>
      <w:r w:rsidR="0093494B">
        <w:rPr>
          <w:rFonts w:ascii="Times New Roman" w:eastAsia="Times New Roman" w:hAnsi="Times New Roman"/>
          <w:b w:val="0"/>
          <w:bCs/>
          <w:szCs w:val="24"/>
        </w:rPr>
        <w:t xml:space="preserve">     </w:t>
      </w:r>
      <w:r w:rsidR="00B020EF">
        <w:rPr>
          <w:rFonts w:ascii="Times New Roman" w:eastAsia="Times New Roman" w:hAnsi="Times New Roman"/>
          <w:b w:val="0"/>
          <w:bCs/>
          <w:szCs w:val="24"/>
        </w:rPr>
        <w:t xml:space="preserve">  </w:t>
      </w:r>
      <w:r w:rsidR="001E3448">
        <w:rPr>
          <w:rFonts w:ascii="Times New Roman" w:eastAsia="Times New Roman" w:hAnsi="Times New Roman"/>
          <w:b w:val="0"/>
          <w:bCs/>
          <w:szCs w:val="24"/>
        </w:rPr>
        <w:t xml:space="preserve"> </w:t>
      </w:r>
      <w:r w:rsidR="00610C6C">
        <w:rPr>
          <w:rFonts w:ascii="Times New Roman" w:eastAsia="Times New Roman" w:hAnsi="Times New Roman"/>
          <w:b w:val="0"/>
          <w:bCs/>
          <w:szCs w:val="24"/>
        </w:rPr>
        <w:t>1</w:t>
      </w:r>
      <w:r w:rsidR="00892155">
        <w:rPr>
          <w:rFonts w:ascii="Times New Roman" w:eastAsia="Times New Roman" w:hAnsi="Times New Roman"/>
          <w:b w:val="0"/>
          <w:bCs/>
          <w:szCs w:val="24"/>
        </w:rPr>
        <w:t>1</w:t>
      </w:r>
      <w:r w:rsidR="0093494B">
        <w:rPr>
          <w:rFonts w:ascii="Times New Roman" w:eastAsia="Times New Roman" w:hAnsi="Times New Roman"/>
          <w:b w:val="0"/>
          <w:bCs/>
          <w:szCs w:val="24"/>
        </w:rPr>
        <w:t xml:space="preserve"> </w:t>
      </w:r>
    </w:p>
    <w:p w:rsidR="005523D4" w:rsidRDefault="005523D4">
      <w:pPr>
        <w:tabs>
          <w:tab w:val="left" w:leader="dot" w:pos="7920"/>
          <w:tab w:val="right" w:pos="8640"/>
        </w:tabs>
        <w:outlineLvl w:val="0"/>
        <w:rPr>
          <w:b/>
          <w:bCs/>
        </w:rPr>
      </w:pPr>
    </w:p>
    <w:p w:rsidR="005523D4" w:rsidRDefault="005523D4">
      <w:pPr>
        <w:numPr>
          <w:ilvl w:val="0"/>
          <w:numId w:val="4"/>
        </w:numPr>
        <w:tabs>
          <w:tab w:val="left" w:leader="dot" w:pos="7920"/>
          <w:tab w:val="right" w:pos="8640"/>
        </w:tabs>
        <w:outlineLvl w:val="0"/>
      </w:pPr>
      <w:r>
        <w:t xml:space="preserve">  Organizational Chart</w:t>
      </w:r>
      <w:r>
        <w:tab/>
      </w:r>
      <w:r>
        <w:tab/>
      </w:r>
    </w:p>
    <w:p w:rsidR="00724DF4" w:rsidRDefault="005523D4" w:rsidP="00724DF4">
      <w:pPr>
        <w:numPr>
          <w:ilvl w:val="0"/>
          <w:numId w:val="4"/>
        </w:numPr>
        <w:tabs>
          <w:tab w:val="left" w:leader="dot" w:pos="7920"/>
          <w:tab w:val="right" w:pos="8640"/>
        </w:tabs>
      </w:pPr>
      <w:r>
        <w:t xml:space="preserve"> </w:t>
      </w:r>
      <w:r w:rsidR="00724DF4">
        <w:t xml:space="preserve"> </w:t>
      </w:r>
      <w:r>
        <w:t>Summary of Requirements</w:t>
      </w:r>
      <w:r w:rsidR="00724DF4">
        <w:tab/>
      </w:r>
    </w:p>
    <w:p w:rsidR="005523D4" w:rsidRDefault="005523D4" w:rsidP="00724DF4">
      <w:pPr>
        <w:numPr>
          <w:ilvl w:val="0"/>
          <w:numId w:val="4"/>
        </w:numPr>
        <w:tabs>
          <w:tab w:val="left" w:leader="dot" w:pos="7920"/>
          <w:tab w:val="right" w:pos="8640"/>
        </w:tabs>
      </w:pPr>
      <w:r>
        <w:t xml:space="preserve"> </w:t>
      </w:r>
      <w:r w:rsidR="00724DF4">
        <w:t xml:space="preserve"> Program Increases by Decision Unit</w:t>
      </w:r>
      <w:r>
        <w:tab/>
      </w:r>
      <w:r w:rsidR="00595542">
        <w:tab/>
      </w:r>
      <w:r w:rsidR="001E3448">
        <w:t xml:space="preserve">  </w:t>
      </w:r>
      <w:r w:rsidR="003E4A3F">
        <w:t>NA</w:t>
      </w:r>
      <w:r w:rsidR="00FD2E11">
        <w:t xml:space="preserve"> </w:t>
      </w:r>
      <w:r w:rsidR="0068132E">
        <w:t xml:space="preserve"> </w:t>
      </w:r>
      <w:r w:rsidR="0081590C">
        <w:t xml:space="preserve">   </w:t>
      </w:r>
    </w:p>
    <w:p w:rsidR="005523D4" w:rsidRDefault="005523D4" w:rsidP="00724DF4">
      <w:pPr>
        <w:tabs>
          <w:tab w:val="left" w:leader="dot" w:pos="7920"/>
          <w:tab w:val="right" w:pos="8640"/>
        </w:tabs>
        <w:ind w:left="360"/>
        <w:rPr>
          <w:bCs/>
        </w:rPr>
      </w:pPr>
      <w:r>
        <w:rPr>
          <w:bCs/>
        </w:rPr>
        <w:t xml:space="preserve">D.   </w:t>
      </w:r>
      <w:r w:rsidR="00724DF4">
        <w:rPr>
          <w:bCs/>
        </w:rPr>
        <w:t xml:space="preserve"> </w:t>
      </w:r>
      <w:r>
        <w:rPr>
          <w:bCs/>
        </w:rPr>
        <w:t>Resources by DOJ Strategic Goal/Objective</w:t>
      </w:r>
      <w:r>
        <w:rPr>
          <w:bCs/>
        </w:rPr>
        <w:tab/>
      </w:r>
      <w:r w:rsidR="00595542">
        <w:rPr>
          <w:bCs/>
        </w:rPr>
        <w:tab/>
      </w:r>
    </w:p>
    <w:p w:rsidR="005523D4" w:rsidRDefault="005523D4">
      <w:pPr>
        <w:numPr>
          <w:ilvl w:val="0"/>
          <w:numId w:val="6"/>
        </w:numPr>
        <w:tabs>
          <w:tab w:val="left" w:leader="dot" w:pos="7920"/>
          <w:tab w:val="right" w:pos="8640"/>
        </w:tabs>
        <w:rPr>
          <w:bCs/>
        </w:rPr>
      </w:pPr>
      <w:r>
        <w:rPr>
          <w:bCs/>
        </w:rPr>
        <w:t xml:space="preserve">  Justification for Base Adjustments</w:t>
      </w:r>
      <w:r>
        <w:rPr>
          <w:bCs/>
        </w:rPr>
        <w:tab/>
      </w:r>
      <w:r w:rsidR="00595542">
        <w:rPr>
          <w:bCs/>
        </w:rPr>
        <w:tab/>
      </w:r>
    </w:p>
    <w:p w:rsidR="005523D4" w:rsidRDefault="004A7B9E">
      <w:pPr>
        <w:numPr>
          <w:ilvl w:val="0"/>
          <w:numId w:val="6"/>
        </w:numPr>
        <w:tabs>
          <w:tab w:val="left" w:leader="dot" w:pos="7920"/>
          <w:tab w:val="right" w:pos="8640"/>
        </w:tabs>
        <w:rPr>
          <w:bCs/>
        </w:rPr>
      </w:pPr>
      <w:r>
        <w:rPr>
          <w:bCs/>
        </w:rPr>
        <w:t xml:space="preserve">  Crosswalk of 2010</w:t>
      </w:r>
      <w:r w:rsidR="005523D4">
        <w:rPr>
          <w:bCs/>
        </w:rPr>
        <w:t xml:space="preserve"> Availability</w:t>
      </w:r>
      <w:r w:rsidR="005523D4">
        <w:rPr>
          <w:bCs/>
        </w:rPr>
        <w:tab/>
      </w:r>
      <w:r w:rsidR="00595542">
        <w:rPr>
          <w:bCs/>
        </w:rPr>
        <w:tab/>
      </w:r>
    </w:p>
    <w:p w:rsidR="005523D4" w:rsidRDefault="004A7B9E">
      <w:pPr>
        <w:numPr>
          <w:ilvl w:val="0"/>
          <w:numId w:val="6"/>
        </w:numPr>
        <w:tabs>
          <w:tab w:val="left" w:leader="dot" w:pos="7920"/>
          <w:tab w:val="right" w:pos="8640"/>
        </w:tabs>
        <w:rPr>
          <w:bCs/>
        </w:rPr>
      </w:pPr>
      <w:r>
        <w:rPr>
          <w:bCs/>
        </w:rPr>
        <w:t xml:space="preserve">  Crosswalk of 2011</w:t>
      </w:r>
      <w:r w:rsidR="005523D4">
        <w:rPr>
          <w:bCs/>
        </w:rPr>
        <w:t xml:space="preserve"> Availability</w:t>
      </w:r>
      <w:r w:rsidR="007851A4">
        <w:rPr>
          <w:bCs/>
        </w:rPr>
        <w:t xml:space="preserve"> </w:t>
      </w:r>
      <w:r w:rsidR="00301CB5">
        <w:rPr>
          <w:bCs/>
        </w:rPr>
        <w:tab/>
      </w:r>
      <w:r w:rsidR="00595542">
        <w:rPr>
          <w:bCs/>
        </w:rPr>
        <w:tab/>
      </w:r>
    </w:p>
    <w:p w:rsidR="005523D4" w:rsidRDefault="005523D4">
      <w:pPr>
        <w:numPr>
          <w:ilvl w:val="0"/>
          <w:numId w:val="6"/>
        </w:numPr>
        <w:tabs>
          <w:tab w:val="left" w:leader="dot" w:pos="7920"/>
          <w:tab w:val="right" w:pos="8640"/>
        </w:tabs>
        <w:rPr>
          <w:bCs/>
        </w:rPr>
      </w:pPr>
      <w:r>
        <w:rPr>
          <w:bCs/>
        </w:rPr>
        <w:t xml:space="preserve">  Summary of Reimbursable Resources</w:t>
      </w:r>
      <w:r>
        <w:rPr>
          <w:bCs/>
        </w:rPr>
        <w:tab/>
      </w:r>
      <w:r w:rsidR="00595542">
        <w:rPr>
          <w:bCs/>
        </w:rPr>
        <w:tab/>
      </w:r>
      <w:r w:rsidR="00B020EF">
        <w:rPr>
          <w:bCs/>
        </w:rPr>
        <w:t xml:space="preserve"> </w:t>
      </w:r>
      <w:r w:rsidR="00FD2E11">
        <w:rPr>
          <w:bCs/>
        </w:rPr>
        <w:t xml:space="preserve"> </w:t>
      </w:r>
      <w:r w:rsidR="00595542">
        <w:rPr>
          <w:bCs/>
        </w:rPr>
        <w:t>NA</w:t>
      </w:r>
    </w:p>
    <w:p w:rsidR="005523D4" w:rsidRDefault="005523D4">
      <w:pPr>
        <w:numPr>
          <w:ilvl w:val="0"/>
          <w:numId w:val="6"/>
        </w:numPr>
        <w:tabs>
          <w:tab w:val="left" w:leader="dot" w:pos="7920"/>
          <w:tab w:val="right" w:pos="8640"/>
        </w:tabs>
        <w:rPr>
          <w:bCs/>
        </w:rPr>
      </w:pPr>
      <w:r>
        <w:rPr>
          <w:bCs/>
        </w:rPr>
        <w:t xml:space="preserve">  Detail of Permanent Positions by Category</w:t>
      </w:r>
      <w:r>
        <w:rPr>
          <w:bCs/>
        </w:rPr>
        <w:tab/>
      </w:r>
      <w:r w:rsidR="00595542">
        <w:rPr>
          <w:bCs/>
        </w:rPr>
        <w:tab/>
      </w:r>
    </w:p>
    <w:p w:rsidR="0020366F" w:rsidRDefault="005523D4">
      <w:pPr>
        <w:numPr>
          <w:ilvl w:val="0"/>
          <w:numId w:val="6"/>
        </w:numPr>
        <w:tabs>
          <w:tab w:val="left" w:leader="dot" w:pos="7920"/>
          <w:tab w:val="right" w:pos="8640"/>
        </w:tabs>
        <w:rPr>
          <w:bCs/>
        </w:rPr>
      </w:pPr>
      <w:r>
        <w:rPr>
          <w:bCs/>
        </w:rPr>
        <w:t xml:space="preserve">  Financial Analysis of Program </w:t>
      </w:r>
      <w:r w:rsidR="00724DF4">
        <w:rPr>
          <w:bCs/>
        </w:rPr>
        <w:t>Increases/Offsets</w:t>
      </w:r>
      <w:r>
        <w:rPr>
          <w:bCs/>
        </w:rPr>
        <w:tab/>
      </w:r>
      <w:r w:rsidR="00595542">
        <w:rPr>
          <w:bCs/>
        </w:rPr>
        <w:tab/>
      </w:r>
      <w:r w:rsidR="00FD2E11">
        <w:rPr>
          <w:bCs/>
        </w:rPr>
        <w:t xml:space="preserve"> </w:t>
      </w:r>
    </w:p>
    <w:p w:rsidR="005523D4" w:rsidRDefault="00724DF4">
      <w:pPr>
        <w:numPr>
          <w:ilvl w:val="0"/>
          <w:numId w:val="6"/>
        </w:numPr>
        <w:tabs>
          <w:tab w:val="left" w:leader="dot" w:pos="7920"/>
          <w:tab w:val="right" w:pos="8640"/>
        </w:tabs>
        <w:rPr>
          <w:bCs/>
        </w:rPr>
      </w:pPr>
      <w:r>
        <w:rPr>
          <w:bCs/>
        </w:rPr>
        <w:t xml:space="preserve">  </w:t>
      </w:r>
      <w:r w:rsidR="005523D4">
        <w:rPr>
          <w:bCs/>
        </w:rPr>
        <w:t>Summary of Requirements by Grade</w:t>
      </w:r>
      <w:r w:rsidR="005523D4">
        <w:rPr>
          <w:bCs/>
        </w:rPr>
        <w:tab/>
      </w:r>
      <w:r w:rsidR="00595542">
        <w:rPr>
          <w:bCs/>
        </w:rPr>
        <w:tab/>
      </w:r>
    </w:p>
    <w:p w:rsidR="00724DF4" w:rsidRDefault="005523D4" w:rsidP="00724DF4">
      <w:pPr>
        <w:numPr>
          <w:ilvl w:val="0"/>
          <w:numId w:val="6"/>
        </w:numPr>
        <w:tabs>
          <w:tab w:val="left" w:leader="dot" w:pos="7920"/>
          <w:tab w:val="right" w:pos="8640"/>
        </w:tabs>
        <w:rPr>
          <w:bCs/>
        </w:rPr>
      </w:pPr>
      <w:r>
        <w:rPr>
          <w:bCs/>
        </w:rPr>
        <w:t xml:space="preserve">  Summary of Requirements by Object Class</w:t>
      </w:r>
      <w:r>
        <w:rPr>
          <w:bCs/>
        </w:rPr>
        <w:tab/>
      </w:r>
      <w:r w:rsidR="00724DF4">
        <w:rPr>
          <w:bCs/>
        </w:rPr>
        <w:tab/>
      </w:r>
    </w:p>
    <w:p w:rsidR="00EE6239" w:rsidRDefault="0020366F" w:rsidP="00EE6239">
      <w:pPr>
        <w:tabs>
          <w:tab w:val="left" w:leader="dot" w:pos="7920"/>
          <w:tab w:val="right" w:pos="8640"/>
        </w:tabs>
        <w:ind w:left="360"/>
        <w:rPr>
          <w:bCs/>
        </w:rPr>
      </w:pPr>
      <w:r>
        <w:rPr>
          <w:bCs/>
        </w:rPr>
        <w:t>M</w:t>
      </w:r>
      <w:r w:rsidR="005523D4">
        <w:rPr>
          <w:bCs/>
        </w:rPr>
        <w:t>.    Status of Congressionally Requested Studi</w:t>
      </w:r>
      <w:r w:rsidR="002E2486">
        <w:rPr>
          <w:bCs/>
        </w:rPr>
        <w:t>es, Reports, and Evaluations</w:t>
      </w:r>
      <w:r w:rsidR="00FF195A">
        <w:rPr>
          <w:bCs/>
        </w:rPr>
        <w:t xml:space="preserve">…      </w:t>
      </w:r>
      <w:r w:rsidR="0088485D">
        <w:rPr>
          <w:bCs/>
        </w:rPr>
        <w:t>NA</w:t>
      </w:r>
    </w:p>
    <w:p w:rsidR="00EE6239" w:rsidRDefault="00EE6239" w:rsidP="00EE6239">
      <w:pPr>
        <w:tabs>
          <w:tab w:val="left" w:leader="dot" w:pos="7920"/>
          <w:tab w:val="right" w:pos="8640"/>
        </w:tabs>
        <w:rPr>
          <w:bCs/>
        </w:rPr>
      </w:pPr>
    </w:p>
    <w:p w:rsidR="00EE6239" w:rsidRDefault="00EE6239" w:rsidP="00EE6239">
      <w:pPr>
        <w:tabs>
          <w:tab w:val="left" w:leader="dot" w:pos="7920"/>
          <w:tab w:val="right" w:pos="8640"/>
        </w:tabs>
        <w:rPr>
          <w:bCs/>
        </w:rPr>
      </w:pPr>
      <w:r>
        <w:rPr>
          <w:bCs/>
        </w:rPr>
        <w:t xml:space="preserve">  </w:t>
      </w:r>
    </w:p>
    <w:p w:rsidR="002E2486" w:rsidRDefault="007851A4" w:rsidP="007851A4">
      <w:pPr>
        <w:tabs>
          <w:tab w:val="left" w:leader="dot" w:pos="7920"/>
          <w:tab w:val="right" w:pos="8640"/>
        </w:tabs>
        <w:ind w:left="360"/>
        <w:rPr>
          <w:bCs/>
        </w:rPr>
      </w:pPr>
      <w:r>
        <w:rPr>
          <w:bCs/>
        </w:rPr>
        <w:t xml:space="preserve">         </w:t>
      </w:r>
    </w:p>
    <w:p w:rsidR="005523D4" w:rsidRDefault="0086270F">
      <w:pPr>
        <w:tabs>
          <w:tab w:val="left" w:leader="dot" w:pos="7920"/>
          <w:tab w:val="right" w:pos="8640"/>
        </w:tabs>
        <w:ind w:left="360"/>
        <w:rPr>
          <w:bCs/>
        </w:rPr>
      </w:pPr>
      <w:r>
        <w:rPr>
          <w:bCs/>
        </w:rPr>
        <w:t xml:space="preserve">                                      </w:t>
      </w:r>
      <w:r w:rsidR="006E1091">
        <w:rPr>
          <w:bCs/>
        </w:rPr>
        <w:t xml:space="preserve">                              </w:t>
      </w:r>
      <w:r w:rsidR="005523D4">
        <w:rPr>
          <w:bCs/>
        </w:rPr>
        <w:t xml:space="preserve">   </w:t>
      </w:r>
    </w:p>
    <w:p w:rsidR="005523D4" w:rsidRDefault="005523D4">
      <w:pPr>
        <w:tabs>
          <w:tab w:val="left" w:leader="dot" w:pos="7920"/>
          <w:tab w:val="right" w:pos="8640"/>
        </w:tabs>
      </w:pPr>
    </w:p>
    <w:p w:rsidR="005523D4" w:rsidRDefault="005523D4">
      <w:pPr>
        <w:sectPr w:rsidR="005523D4">
          <w:headerReference w:type="even" r:id="rId14"/>
          <w:headerReference w:type="default" r:id="rId15"/>
          <w:footerReference w:type="default" r:id="rId16"/>
          <w:headerReference w:type="first" r:id="rId17"/>
          <w:pgSz w:w="12240" w:h="15840"/>
          <w:pgMar w:top="1152" w:right="1440" w:bottom="1152" w:left="1440" w:header="432" w:footer="432" w:gutter="0"/>
          <w:pgNumType w:start="0"/>
          <w:cols w:space="720"/>
          <w:titlePg/>
        </w:sectPr>
      </w:pPr>
    </w:p>
    <w:p w:rsidR="005523D4" w:rsidRDefault="005523D4">
      <w:pPr>
        <w:pStyle w:val="BodyText"/>
        <w:rPr>
          <w:b/>
          <w:bCs/>
        </w:rPr>
      </w:pPr>
      <w:r>
        <w:rPr>
          <w:b/>
          <w:bCs/>
        </w:rPr>
        <w:lastRenderedPageBreak/>
        <w:t xml:space="preserve">I.  Overview for </w:t>
      </w:r>
      <w:r w:rsidR="00650AB3">
        <w:rPr>
          <w:b/>
          <w:bCs/>
        </w:rPr>
        <w:t>the Foreign Claims Settlement Commission</w:t>
      </w:r>
    </w:p>
    <w:p w:rsidR="00882581" w:rsidRDefault="00882581">
      <w:pPr>
        <w:pStyle w:val="BodyText"/>
      </w:pPr>
    </w:p>
    <w:p w:rsidR="00882581" w:rsidRPr="00882581" w:rsidRDefault="00882581">
      <w:pPr>
        <w:pStyle w:val="BodyText"/>
        <w:rPr>
          <w:b/>
        </w:rPr>
      </w:pPr>
      <w:r>
        <w:rPr>
          <w:b/>
        </w:rPr>
        <w:t>1.  Introduction</w:t>
      </w:r>
    </w:p>
    <w:p w:rsidR="00882581" w:rsidRDefault="00882581"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D271C0" w:rsidRDefault="00650AB3"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t xml:space="preserve">The principal mission of the </w:t>
      </w:r>
      <w:r w:rsidR="00957F1A">
        <w:rPr>
          <w:rFonts w:ascii="Times New Roman" w:hAnsi="Times New Roman"/>
          <w:color w:val="000000"/>
          <w:sz w:val="24"/>
          <w:szCs w:val="21"/>
        </w:rPr>
        <w:t xml:space="preserve">Foreign Claims Settlement </w:t>
      </w:r>
      <w:r>
        <w:rPr>
          <w:rFonts w:ascii="Times New Roman" w:hAnsi="Times New Roman"/>
          <w:color w:val="000000"/>
          <w:sz w:val="24"/>
          <w:szCs w:val="21"/>
        </w:rPr>
        <w:t xml:space="preserve">Commission is to adjudicate claims of </w:t>
      </w:r>
      <w:smartTag w:uri="urn:schemas-microsoft-com:office:smarttags" w:element="place">
        <w:smartTag w:uri="urn:schemas-microsoft-com:office:smarttags" w:element="country-region">
          <w:r>
            <w:rPr>
              <w:rFonts w:ascii="Times New Roman" w:hAnsi="Times New Roman"/>
              <w:color w:val="000000"/>
              <w:sz w:val="24"/>
              <w:szCs w:val="21"/>
            </w:rPr>
            <w:t>U.S.</w:t>
          </w:r>
        </w:smartTag>
      </w:smartTag>
      <w:r>
        <w:rPr>
          <w:rFonts w:ascii="Times New Roman" w:hAnsi="Times New Roman"/>
          <w:color w:val="000000"/>
          <w:sz w:val="24"/>
          <w:szCs w:val="21"/>
        </w:rPr>
        <w:t xml:space="preserve"> nationals against foreign governments, exercising jurisdiction conferred by the International Claims Settlement Act of 1949, as </w:t>
      </w:r>
      <w:proofErr w:type="gramStart"/>
      <w:r>
        <w:rPr>
          <w:rFonts w:ascii="Times New Roman" w:hAnsi="Times New Roman"/>
          <w:color w:val="000000"/>
          <w:sz w:val="24"/>
          <w:szCs w:val="21"/>
        </w:rPr>
        <w:t>amended,</w:t>
      </w:r>
      <w:proofErr w:type="gramEnd"/>
      <w:r>
        <w:rPr>
          <w:rFonts w:ascii="Times New Roman" w:hAnsi="Times New Roman"/>
          <w:color w:val="000000"/>
          <w:sz w:val="24"/>
          <w:szCs w:val="21"/>
        </w:rPr>
        <w:t xml:space="preserve"> and other authorizing legislation. </w:t>
      </w:r>
      <w:r w:rsidR="00957F1A">
        <w:rPr>
          <w:rFonts w:ascii="Times New Roman" w:hAnsi="Times New Roman"/>
          <w:color w:val="000000"/>
          <w:sz w:val="24"/>
          <w:szCs w:val="21"/>
        </w:rPr>
        <w:t xml:space="preserve">The Commission is requesting a total of 11 permanent positions, 11 </w:t>
      </w:r>
      <w:r w:rsidR="00DC21EB">
        <w:rPr>
          <w:rFonts w:ascii="Times New Roman" w:hAnsi="Times New Roman"/>
          <w:color w:val="000000"/>
          <w:sz w:val="24"/>
          <w:szCs w:val="21"/>
        </w:rPr>
        <w:t>FTE</w:t>
      </w:r>
      <w:r w:rsidR="00957F1A">
        <w:rPr>
          <w:rFonts w:ascii="Times New Roman" w:hAnsi="Times New Roman"/>
          <w:color w:val="000000"/>
          <w:sz w:val="24"/>
          <w:szCs w:val="21"/>
        </w:rPr>
        <w:t xml:space="preserve">, and </w:t>
      </w:r>
      <w:r w:rsidR="00B1318A">
        <w:rPr>
          <w:rFonts w:ascii="Times New Roman" w:hAnsi="Times New Roman"/>
          <w:color w:val="000000"/>
          <w:sz w:val="24"/>
          <w:szCs w:val="21"/>
        </w:rPr>
        <w:t>$2</w:t>
      </w:r>
      <w:r w:rsidR="00B92BCB">
        <w:rPr>
          <w:rFonts w:ascii="Times New Roman" w:hAnsi="Times New Roman"/>
          <w:color w:val="000000"/>
          <w:sz w:val="24"/>
          <w:szCs w:val="21"/>
        </w:rPr>
        <w:t>,124</w:t>
      </w:r>
      <w:r w:rsidR="00727FE5">
        <w:rPr>
          <w:rFonts w:ascii="Times New Roman" w:hAnsi="Times New Roman"/>
          <w:color w:val="000000"/>
          <w:sz w:val="24"/>
          <w:szCs w:val="21"/>
        </w:rPr>
        <w:t>,000 for FY 2012</w:t>
      </w:r>
      <w:r w:rsidR="00A51097">
        <w:rPr>
          <w:rFonts w:ascii="Times New Roman" w:hAnsi="Times New Roman"/>
          <w:color w:val="000000"/>
          <w:sz w:val="24"/>
          <w:szCs w:val="21"/>
        </w:rPr>
        <w:t>.</w:t>
      </w:r>
      <w:r w:rsidR="00957F1A">
        <w:rPr>
          <w:rFonts w:ascii="Times New Roman" w:hAnsi="Times New Roman"/>
          <w:color w:val="000000"/>
          <w:sz w:val="24"/>
          <w:szCs w:val="21"/>
        </w:rPr>
        <w:t xml:space="preserve">  </w:t>
      </w:r>
    </w:p>
    <w:p w:rsidR="00A20AC7" w:rsidRDefault="00A20AC7"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A20AC7" w:rsidRDefault="007851A4"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t>E</w:t>
      </w:r>
      <w:r w:rsidR="00A20AC7">
        <w:rPr>
          <w:rFonts w:ascii="Times New Roman" w:hAnsi="Times New Roman"/>
          <w:color w:val="000000"/>
          <w:sz w:val="24"/>
          <w:szCs w:val="21"/>
        </w:rPr>
        <w:t xml:space="preserve">lectronic copies </w:t>
      </w:r>
      <w:r>
        <w:rPr>
          <w:rFonts w:ascii="Times New Roman" w:hAnsi="Times New Roman"/>
          <w:color w:val="000000"/>
          <w:sz w:val="24"/>
          <w:szCs w:val="21"/>
        </w:rPr>
        <w:t>of the Department of Justice’s Congressional Budget J</w:t>
      </w:r>
      <w:r w:rsidR="00A20AC7">
        <w:rPr>
          <w:rFonts w:ascii="Times New Roman" w:hAnsi="Times New Roman"/>
          <w:color w:val="000000"/>
          <w:sz w:val="24"/>
          <w:szCs w:val="21"/>
        </w:rPr>
        <w:t>ustifications and Capital Asset Pla</w:t>
      </w:r>
      <w:r>
        <w:rPr>
          <w:rFonts w:ascii="Times New Roman" w:hAnsi="Times New Roman"/>
          <w:color w:val="000000"/>
          <w:sz w:val="24"/>
          <w:szCs w:val="21"/>
        </w:rPr>
        <w:t>n and Business Case exhibits can</w:t>
      </w:r>
      <w:r w:rsidR="00A20AC7">
        <w:rPr>
          <w:rFonts w:ascii="Times New Roman" w:hAnsi="Times New Roman"/>
          <w:color w:val="000000"/>
          <w:sz w:val="24"/>
          <w:szCs w:val="21"/>
        </w:rPr>
        <w:t xml:space="preserve"> be viewed or downlo</w:t>
      </w:r>
      <w:r w:rsidR="007F14A7">
        <w:rPr>
          <w:rFonts w:ascii="Times New Roman" w:hAnsi="Times New Roman"/>
          <w:color w:val="000000"/>
          <w:sz w:val="24"/>
          <w:szCs w:val="21"/>
        </w:rPr>
        <w:t>aded from the Internet using this</w:t>
      </w:r>
      <w:r w:rsidR="00A20AC7">
        <w:rPr>
          <w:rFonts w:ascii="Times New Roman" w:hAnsi="Times New Roman"/>
          <w:color w:val="000000"/>
          <w:sz w:val="24"/>
          <w:szCs w:val="21"/>
        </w:rPr>
        <w:t xml:space="preserve"> Internet address:  </w:t>
      </w:r>
      <w:hyperlink r:id="rId18" w:history="1">
        <w:r w:rsidR="00727FE5" w:rsidRPr="006926F9">
          <w:rPr>
            <w:rStyle w:val="Hyperlink"/>
            <w:szCs w:val="21"/>
          </w:rPr>
          <w:t>http://www.usdoj.gov/jmd/2012justification/</w:t>
        </w:r>
      </w:hyperlink>
      <w:r w:rsidR="00A20AC7">
        <w:rPr>
          <w:rFonts w:ascii="Times New Roman" w:hAnsi="Times New Roman"/>
          <w:color w:val="000000"/>
          <w:sz w:val="24"/>
          <w:szCs w:val="21"/>
        </w:rPr>
        <w:t>.</w:t>
      </w:r>
    </w:p>
    <w:p w:rsidR="00A20AC7" w:rsidRDefault="00A20AC7"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D271C0" w:rsidRDefault="00957F1A"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t>This requ</w:t>
      </w:r>
      <w:r w:rsidR="00A967BA">
        <w:rPr>
          <w:rFonts w:ascii="Times New Roman" w:hAnsi="Times New Roman"/>
          <w:color w:val="000000"/>
          <w:sz w:val="24"/>
          <w:szCs w:val="21"/>
        </w:rPr>
        <w:t>es</w:t>
      </w:r>
      <w:r w:rsidR="00866D48">
        <w:rPr>
          <w:rFonts w:ascii="Times New Roman" w:hAnsi="Times New Roman"/>
          <w:color w:val="000000"/>
          <w:sz w:val="24"/>
          <w:szCs w:val="21"/>
        </w:rPr>
        <w:t>t represents an increase of $7,000 above</w:t>
      </w:r>
      <w:r w:rsidR="00727FE5">
        <w:rPr>
          <w:rFonts w:ascii="Times New Roman" w:hAnsi="Times New Roman"/>
          <w:color w:val="000000"/>
          <w:sz w:val="24"/>
          <w:szCs w:val="21"/>
        </w:rPr>
        <w:t xml:space="preserve"> the FY 2011</w:t>
      </w:r>
      <w:r w:rsidR="00294566">
        <w:rPr>
          <w:rFonts w:ascii="Times New Roman" w:hAnsi="Times New Roman"/>
          <w:color w:val="000000"/>
          <w:sz w:val="24"/>
          <w:szCs w:val="21"/>
        </w:rPr>
        <w:t xml:space="preserve"> anticipated</w:t>
      </w:r>
      <w:r w:rsidR="00727FE5">
        <w:rPr>
          <w:rFonts w:ascii="Times New Roman" w:hAnsi="Times New Roman"/>
          <w:color w:val="000000"/>
          <w:sz w:val="24"/>
          <w:szCs w:val="21"/>
        </w:rPr>
        <w:t xml:space="preserve"> leve</w:t>
      </w:r>
      <w:r w:rsidR="00294566">
        <w:rPr>
          <w:rFonts w:ascii="Times New Roman" w:hAnsi="Times New Roman"/>
          <w:color w:val="000000"/>
          <w:sz w:val="24"/>
          <w:szCs w:val="21"/>
        </w:rPr>
        <w:t>l of $2,117</w:t>
      </w:r>
      <w:r w:rsidR="00EC2D89">
        <w:rPr>
          <w:rFonts w:ascii="Times New Roman" w:hAnsi="Times New Roman"/>
          <w:color w:val="000000"/>
          <w:sz w:val="24"/>
          <w:szCs w:val="21"/>
        </w:rPr>
        <w:t>,000.</w:t>
      </w:r>
      <w:r>
        <w:rPr>
          <w:rFonts w:ascii="Times New Roman" w:hAnsi="Times New Roman"/>
          <w:color w:val="000000"/>
          <w:sz w:val="24"/>
          <w:szCs w:val="21"/>
        </w:rPr>
        <w:t xml:space="preserve">  This</w:t>
      </w:r>
      <w:r w:rsidR="00F73BC1">
        <w:rPr>
          <w:rFonts w:ascii="Times New Roman" w:hAnsi="Times New Roman"/>
          <w:color w:val="000000"/>
          <w:sz w:val="24"/>
          <w:szCs w:val="21"/>
        </w:rPr>
        <w:t xml:space="preserve"> amount</w:t>
      </w:r>
      <w:r>
        <w:rPr>
          <w:rFonts w:ascii="Times New Roman" w:hAnsi="Times New Roman"/>
          <w:color w:val="000000"/>
          <w:sz w:val="24"/>
          <w:szCs w:val="21"/>
        </w:rPr>
        <w:t xml:space="preserve"> will enable the Commission to continue evaluati</w:t>
      </w:r>
      <w:r w:rsidR="00BA3DEF">
        <w:rPr>
          <w:rFonts w:ascii="Times New Roman" w:hAnsi="Times New Roman"/>
          <w:color w:val="000000"/>
          <w:sz w:val="24"/>
          <w:szCs w:val="21"/>
        </w:rPr>
        <w:t>ng</w:t>
      </w:r>
      <w:r>
        <w:rPr>
          <w:rFonts w:ascii="Times New Roman" w:hAnsi="Times New Roman"/>
          <w:color w:val="000000"/>
          <w:sz w:val="24"/>
          <w:szCs w:val="21"/>
        </w:rPr>
        <w:t xml:space="preserve"> claims</w:t>
      </w:r>
      <w:r w:rsidR="00BA3DEF">
        <w:rPr>
          <w:rFonts w:ascii="Times New Roman" w:hAnsi="Times New Roman"/>
          <w:color w:val="000000"/>
          <w:sz w:val="24"/>
          <w:szCs w:val="21"/>
        </w:rPr>
        <w:t xml:space="preserve"> of U. S. nationals</w:t>
      </w:r>
      <w:r>
        <w:rPr>
          <w:rFonts w:ascii="Times New Roman" w:hAnsi="Times New Roman"/>
          <w:color w:val="000000"/>
          <w:sz w:val="24"/>
          <w:szCs w:val="21"/>
        </w:rPr>
        <w:t xml:space="preserve"> against foreign governments under current claims programs as well as maintaining the</w:t>
      </w:r>
      <w:r w:rsidR="00A967BA">
        <w:rPr>
          <w:rFonts w:ascii="Times New Roman" w:hAnsi="Times New Roman"/>
          <w:color w:val="000000"/>
          <w:sz w:val="24"/>
          <w:szCs w:val="21"/>
        </w:rPr>
        <w:t xml:space="preserve"> decisions and</w:t>
      </w:r>
      <w:r>
        <w:rPr>
          <w:rFonts w:ascii="Times New Roman" w:hAnsi="Times New Roman"/>
          <w:color w:val="000000"/>
          <w:sz w:val="24"/>
          <w:szCs w:val="21"/>
        </w:rPr>
        <w:t xml:space="preserve"> records of past claims programs, and continue building and modernizing both current and past claims programs</w:t>
      </w:r>
      <w:r w:rsidR="00A967BA">
        <w:rPr>
          <w:rFonts w:ascii="Times New Roman" w:hAnsi="Times New Roman"/>
          <w:color w:val="000000"/>
          <w:sz w:val="24"/>
          <w:szCs w:val="21"/>
        </w:rPr>
        <w:t xml:space="preserve"> records</w:t>
      </w:r>
      <w:r>
        <w:rPr>
          <w:rFonts w:ascii="Times New Roman" w:hAnsi="Times New Roman"/>
          <w:color w:val="000000"/>
          <w:sz w:val="24"/>
          <w:szCs w:val="21"/>
        </w:rPr>
        <w:t xml:space="preserve"> by creating and updating</w:t>
      </w:r>
      <w:r w:rsidR="00BA3DEF">
        <w:rPr>
          <w:rFonts w:ascii="Times New Roman" w:hAnsi="Times New Roman"/>
          <w:color w:val="000000"/>
          <w:sz w:val="24"/>
          <w:szCs w:val="21"/>
        </w:rPr>
        <w:t xml:space="preserve"> the relevant</w:t>
      </w:r>
      <w:r>
        <w:rPr>
          <w:rFonts w:ascii="Times New Roman" w:hAnsi="Times New Roman"/>
          <w:color w:val="000000"/>
          <w:sz w:val="24"/>
          <w:szCs w:val="21"/>
        </w:rPr>
        <w:t xml:space="preserve"> databases.</w:t>
      </w:r>
      <w:r w:rsidR="00650AB3">
        <w:rPr>
          <w:rFonts w:ascii="Times New Roman" w:hAnsi="Times New Roman"/>
          <w:color w:val="000000"/>
          <w:sz w:val="24"/>
          <w:szCs w:val="21"/>
        </w:rPr>
        <w:t xml:space="preserve"> </w:t>
      </w:r>
      <w:r>
        <w:rPr>
          <w:rFonts w:ascii="Times New Roman" w:hAnsi="Times New Roman"/>
          <w:color w:val="000000"/>
          <w:sz w:val="24"/>
          <w:szCs w:val="21"/>
        </w:rPr>
        <w:t xml:space="preserve"> </w:t>
      </w:r>
    </w:p>
    <w:p w:rsidR="00D271C0" w:rsidRDefault="00D271C0"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650AB3" w:rsidRDefault="00650AB3"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t>To d</w:t>
      </w:r>
      <w:r w:rsidR="00A967BA">
        <w:rPr>
          <w:rFonts w:ascii="Times New Roman" w:hAnsi="Times New Roman"/>
          <w:color w:val="000000"/>
          <w:sz w:val="24"/>
          <w:szCs w:val="21"/>
        </w:rPr>
        <w:t>ate, the Commission has</w:t>
      </w:r>
      <w:r>
        <w:rPr>
          <w:rFonts w:ascii="Times New Roman" w:hAnsi="Times New Roman"/>
          <w:color w:val="000000"/>
          <w:sz w:val="24"/>
          <w:szCs w:val="21"/>
        </w:rPr>
        <w:t xml:space="preserve"> administered</w:t>
      </w:r>
      <w:r w:rsidR="00A967BA">
        <w:rPr>
          <w:rFonts w:ascii="Times New Roman" w:hAnsi="Times New Roman"/>
          <w:color w:val="000000"/>
          <w:sz w:val="24"/>
          <w:szCs w:val="21"/>
        </w:rPr>
        <w:t xml:space="preserve"> and completed</w:t>
      </w:r>
      <w:r>
        <w:rPr>
          <w:rFonts w:ascii="Times New Roman" w:hAnsi="Times New Roman"/>
          <w:color w:val="000000"/>
          <w:sz w:val="24"/>
          <w:szCs w:val="21"/>
        </w:rPr>
        <w:t xml:space="preserve"> 4</w:t>
      </w:r>
      <w:r w:rsidR="005975A2">
        <w:rPr>
          <w:rFonts w:ascii="Times New Roman" w:hAnsi="Times New Roman"/>
          <w:color w:val="000000"/>
          <w:sz w:val="24"/>
          <w:szCs w:val="21"/>
        </w:rPr>
        <w:t>5</w:t>
      </w:r>
      <w:r>
        <w:rPr>
          <w:rFonts w:ascii="Times New Roman" w:hAnsi="Times New Roman"/>
          <w:color w:val="000000"/>
          <w:sz w:val="24"/>
          <w:szCs w:val="21"/>
        </w:rPr>
        <w:t xml:space="preserve"> international and war</w:t>
      </w:r>
      <w:r w:rsidR="005975A2">
        <w:rPr>
          <w:rFonts w:ascii="Times New Roman" w:hAnsi="Times New Roman"/>
          <w:color w:val="000000"/>
          <w:sz w:val="24"/>
          <w:szCs w:val="21"/>
        </w:rPr>
        <w:t>-</w:t>
      </w:r>
      <w:r>
        <w:rPr>
          <w:rFonts w:ascii="Times New Roman" w:hAnsi="Times New Roman"/>
          <w:color w:val="000000"/>
          <w:sz w:val="24"/>
          <w:szCs w:val="21"/>
        </w:rPr>
        <w:t>related claims programs i</w:t>
      </w:r>
      <w:r w:rsidR="005975A2">
        <w:rPr>
          <w:rFonts w:ascii="Times New Roman" w:hAnsi="Times New Roman"/>
          <w:color w:val="000000"/>
          <w:sz w:val="24"/>
          <w:szCs w:val="21"/>
        </w:rPr>
        <w:t xml:space="preserve">nvolving </w:t>
      </w:r>
      <w:r>
        <w:rPr>
          <w:rFonts w:ascii="Times New Roman" w:hAnsi="Times New Roman"/>
          <w:color w:val="000000"/>
          <w:sz w:val="24"/>
          <w:szCs w:val="21"/>
        </w:rPr>
        <w:t xml:space="preserve">claims against 18 countries:  </w:t>
      </w:r>
      <w:smartTag w:uri="urn:schemas-microsoft-com:office:smarttags" w:element="country-region">
        <w:r>
          <w:rPr>
            <w:rFonts w:ascii="Times New Roman" w:hAnsi="Times New Roman"/>
            <w:color w:val="000000"/>
            <w:sz w:val="24"/>
            <w:szCs w:val="21"/>
          </w:rPr>
          <w:t>Yugoslavia</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Panama</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Bulgaria</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Hungary</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Romania</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Italy</w:t>
        </w:r>
      </w:smartTag>
      <w:r>
        <w:rPr>
          <w:rFonts w:ascii="Times New Roman" w:hAnsi="Times New Roman"/>
          <w:color w:val="000000"/>
          <w:sz w:val="24"/>
          <w:szCs w:val="21"/>
        </w:rPr>
        <w:t xml:space="preserve">, the former Soviet Union, the former </w:t>
      </w:r>
      <w:smartTag w:uri="urn:schemas-microsoft-com:office:smarttags" w:element="country-region">
        <w:r>
          <w:rPr>
            <w:rFonts w:ascii="Times New Roman" w:hAnsi="Times New Roman"/>
            <w:color w:val="000000"/>
            <w:sz w:val="24"/>
            <w:szCs w:val="21"/>
          </w:rPr>
          <w:t>Czechoslovakia</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Poland</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Cuba</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China</w:t>
        </w:r>
      </w:smartTag>
      <w:r>
        <w:rPr>
          <w:rFonts w:ascii="Times New Roman" w:hAnsi="Times New Roman"/>
          <w:color w:val="000000"/>
          <w:sz w:val="24"/>
          <w:szCs w:val="21"/>
        </w:rPr>
        <w:t xml:space="preserve">, the former German Democratic Republic, </w:t>
      </w:r>
      <w:smartTag w:uri="urn:schemas-microsoft-com:office:smarttags" w:element="country-region">
        <w:r>
          <w:rPr>
            <w:rFonts w:ascii="Times New Roman" w:hAnsi="Times New Roman"/>
            <w:color w:val="000000"/>
            <w:sz w:val="24"/>
            <w:szCs w:val="21"/>
          </w:rPr>
          <w:t>Vietnam</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Ethiopia</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Egypt</w:t>
        </w:r>
      </w:smartTag>
      <w:r>
        <w:rPr>
          <w:rFonts w:ascii="Times New Roman" w:hAnsi="Times New Roman"/>
          <w:color w:val="000000"/>
          <w:sz w:val="24"/>
          <w:szCs w:val="21"/>
        </w:rPr>
        <w:t xml:space="preserve">, </w:t>
      </w:r>
      <w:smartTag w:uri="urn:schemas-microsoft-com:office:smarttags" w:element="country-region">
        <w:r>
          <w:rPr>
            <w:rFonts w:ascii="Times New Roman" w:hAnsi="Times New Roman"/>
            <w:color w:val="000000"/>
            <w:sz w:val="24"/>
            <w:szCs w:val="21"/>
          </w:rPr>
          <w:t>Iran</w:t>
        </w:r>
      </w:smartTag>
      <w:r>
        <w:rPr>
          <w:rFonts w:ascii="Times New Roman" w:hAnsi="Times New Roman"/>
          <w:color w:val="000000"/>
          <w:sz w:val="24"/>
          <w:szCs w:val="21"/>
        </w:rPr>
        <w:t xml:space="preserve">, </w:t>
      </w:r>
      <w:smartTag w:uri="urn:schemas-microsoft-com:office:smarttags" w:element="country-region">
        <w:smartTag w:uri="urn:schemas-microsoft-com:office:smarttags" w:element="place">
          <w:r>
            <w:rPr>
              <w:rFonts w:ascii="Times New Roman" w:hAnsi="Times New Roman"/>
              <w:color w:val="000000"/>
              <w:sz w:val="24"/>
              <w:szCs w:val="21"/>
            </w:rPr>
            <w:t>Albania</w:t>
          </w:r>
        </w:smartTag>
      </w:smartTag>
      <w:r>
        <w:rPr>
          <w:rFonts w:ascii="Times New Roman" w:hAnsi="Times New Roman"/>
          <w:color w:val="000000"/>
          <w:sz w:val="24"/>
          <w:szCs w:val="21"/>
        </w:rPr>
        <w:t xml:space="preserve">, and the Federal Republic of Germany.  </w:t>
      </w:r>
    </w:p>
    <w:p w:rsidR="00650AB3" w:rsidRDefault="00650AB3"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650AB3" w:rsidRDefault="00650AB3"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t xml:space="preserve">The Commission consists of a Chairman and two </w:t>
      </w:r>
      <w:proofErr w:type="spellStart"/>
      <w:r>
        <w:rPr>
          <w:rFonts w:ascii="Times New Roman" w:hAnsi="Times New Roman"/>
          <w:color w:val="000000"/>
          <w:sz w:val="24"/>
          <w:szCs w:val="21"/>
        </w:rPr>
        <w:t>part</w:t>
      </w:r>
      <w:r>
        <w:rPr>
          <w:rFonts w:ascii="Times New Roman" w:hAnsi="Times New Roman"/>
          <w:color w:val="000000"/>
          <w:sz w:val="24"/>
          <w:szCs w:val="21"/>
        </w:rPr>
        <w:noBreakHyphen/>
        <w:t>time</w:t>
      </w:r>
      <w:proofErr w:type="spellEnd"/>
      <w:r>
        <w:rPr>
          <w:rFonts w:ascii="Times New Roman" w:hAnsi="Times New Roman"/>
          <w:color w:val="000000"/>
          <w:sz w:val="24"/>
          <w:szCs w:val="21"/>
        </w:rPr>
        <w:t xml:space="preserve"> Commissioners, who are appointed by the President with the advice and consent of the Senate.  The</w:t>
      </w:r>
      <w:r w:rsidR="00EC2D89">
        <w:rPr>
          <w:rFonts w:ascii="Times New Roman" w:hAnsi="Times New Roman"/>
          <w:color w:val="000000"/>
          <w:sz w:val="24"/>
          <w:szCs w:val="21"/>
        </w:rPr>
        <w:t xml:space="preserve"> Chairman and</w:t>
      </w:r>
      <w:r w:rsidR="00B35AFE">
        <w:rPr>
          <w:rFonts w:ascii="Times New Roman" w:hAnsi="Times New Roman"/>
          <w:color w:val="000000"/>
          <w:sz w:val="24"/>
          <w:szCs w:val="21"/>
        </w:rPr>
        <w:t xml:space="preserve"> the</w:t>
      </w:r>
      <w:r>
        <w:rPr>
          <w:rFonts w:ascii="Times New Roman" w:hAnsi="Times New Roman"/>
          <w:color w:val="000000"/>
          <w:sz w:val="24"/>
          <w:szCs w:val="21"/>
        </w:rPr>
        <w:t xml:space="preserve"> </w:t>
      </w:r>
      <w:proofErr w:type="spellStart"/>
      <w:r>
        <w:rPr>
          <w:rFonts w:ascii="Times New Roman" w:hAnsi="Times New Roman"/>
          <w:color w:val="000000"/>
          <w:sz w:val="24"/>
          <w:szCs w:val="21"/>
        </w:rPr>
        <w:t>part</w:t>
      </w:r>
      <w:r>
        <w:rPr>
          <w:rFonts w:ascii="Times New Roman" w:hAnsi="Times New Roman"/>
          <w:color w:val="000000"/>
          <w:sz w:val="24"/>
          <w:szCs w:val="21"/>
        </w:rPr>
        <w:noBreakHyphen/>
        <w:t>time</w:t>
      </w:r>
      <w:proofErr w:type="spellEnd"/>
      <w:r>
        <w:rPr>
          <w:rFonts w:ascii="Times New Roman" w:hAnsi="Times New Roman"/>
          <w:color w:val="000000"/>
          <w:sz w:val="24"/>
          <w:szCs w:val="21"/>
        </w:rPr>
        <w:t xml:space="preserve"> Commissioners receive compensation at the Executive Level V rate of pay for performance of official business of the Commis</w:t>
      </w:r>
      <w:r w:rsidR="00EC2D89">
        <w:rPr>
          <w:rFonts w:ascii="Times New Roman" w:hAnsi="Times New Roman"/>
          <w:color w:val="000000"/>
          <w:sz w:val="24"/>
          <w:szCs w:val="21"/>
        </w:rPr>
        <w:t>sion.</w:t>
      </w:r>
    </w:p>
    <w:p w:rsidR="00650AB3" w:rsidRDefault="00650AB3"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650AB3" w:rsidRDefault="00650AB3"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t>The operating expenses of the Commission ultimately are borne only partially, if at all, by the taxpayer.  In virtually all instances, the legislation authorizing the adjudication of claims has provided for deduction of a percentage of the funds obtained from foreign governments for payment of the Commission's awards</w:t>
      </w:r>
      <w:r w:rsidR="00F73BC1">
        <w:rPr>
          <w:rFonts w:ascii="Times New Roman" w:hAnsi="Times New Roman"/>
          <w:color w:val="000000"/>
          <w:sz w:val="24"/>
          <w:szCs w:val="21"/>
        </w:rPr>
        <w:t>.  This amount is deposited to the credit of miscellaneous receipts in the United States Treasury to defray the administrative expenses of conducting the claims programs.</w:t>
      </w:r>
      <w:r>
        <w:rPr>
          <w:rFonts w:ascii="Times New Roman" w:hAnsi="Times New Roman"/>
          <w:color w:val="000000"/>
          <w:sz w:val="24"/>
          <w:szCs w:val="21"/>
        </w:rPr>
        <w:t xml:space="preserve"> </w:t>
      </w:r>
    </w:p>
    <w:p w:rsidR="00650AB3" w:rsidRDefault="00650AB3" w:rsidP="00650AB3">
      <w:pPr>
        <w:pStyle w:val="BodyText"/>
        <w:rPr>
          <w:color w:val="000000"/>
          <w:szCs w:val="21"/>
        </w:rPr>
      </w:pPr>
    </w:p>
    <w:p w:rsidR="00650AB3" w:rsidRDefault="00650AB3" w:rsidP="00650AB3">
      <w:pPr>
        <w:pStyle w:val="xl27"/>
        <w:spacing w:before="0" w:after="0"/>
        <w:rPr>
          <w:rFonts w:ascii="Times New Roman" w:hAnsi="Times New Roman"/>
          <w:color w:val="000000"/>
        </w:rPr>
      </w:pPr>
      <w:r>
        <w:rPr>
          <w:rFonts w:ascii="Times New Roman" w:hAnsi="Times New Roman"/>
          <w:color w:val="000000"/>
        </w:rPr>
        <w:t>2.  Issues, Outcomes, and Strategies</w:t>
      </w:r>
    </w:p>
    <w:p w:rsidR="00650AB3" w:rsidRDefault="00650AB3"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F93996" w:rsidRDefault="00727FE5"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t>In 2012</w:t>
      </w:r>
      <w:r w:rsidR="003B353C">
        <w:rPr>
          <w:rFonts w:ascii="Times New Roman" w:hAnsi="Times New Roman"/>
          <w:color w:val="000000"/>
          <w:sz w:val="24"/>
          <w:szCs w:val="21"/>
        </w:rPr>
        <w:t>, the Commission will</w:t>
      </w:r>
      <w:r w:rsidR="00BA3DEF">
        <w:rPr>
          <w:rFonts w:ascii="Times New Roman" w:hAnsi="Times New Roman"/>
          <w:color w:val="000000"/>
          <w:sz w:val="24"/>
          <w:szCs w:val="21"/>
        </w:rPr>
        <w:t xml:space="preserve"> continue to </w:t>
      </w:r>
      <w:r w:rsidR="009F7AD0">
        <w:rPr>
          <w:rFonts w:ascii="Times New Roman" w:hAnsi="Times New Roman"/>
          <w:color w:val="000000"/>
          <w:sz w:val="24"/>
          <w:szCs w:val="21"/>
        </w:rPr>
        <w:t>ad</w:t>
      </w:r>
      <w:r w:rsidR="00BA3DEF">
        <w:rPr>
          <w:rFonts w:ascii="Times New Roman" w:hAnsi="Times New Roman"/>
          <w:color w:val="000000"/>
          <w:sz w:val="24"/>
          <w:szCs w:val="21"/>
        </w:rPr>
        <w:t>m</w:t>
      </w:r>
      <w:r>
        <w:rPr>
          <w:rFonts w:ascii="Times New Roman" w:hAnsi="Times New Roman"/>
          <w:color w:val="000000"/>
          <w:sz w:val="24"/>
          <w:szCs w:val="21"/>
        </w:rPr>
        <w:t>inister the Libya Claims Program</w:t>
      </w:r>
      <w:r w:rsidR="00BA3DEF">
        <w:rPr>
          <w:rFonts w:ascii="Times New Roman" w:hAnsi="Times New Roman"/>
          <w:color w:val="000000"/>
          <w:sz w:val="24"/>
          <w:szCs w:val="21"/>
        </w:rPr>
        <w:t xml:space="preserve"> that</w:t>
      </w:r>
      <w:r w:rsidR="009F7AD0">
        <w:rPr>
          <w:rFonts w:ascii="Times New Roman" w:hAnsi="Times New Roman"/>
          <w:color w:val="000000"/>
          <w:sz w:val="24"/>
          <w:szCs w:val="21"/>
        </w:rPr>
        <w:t xml:space="preserve"> result</w:t>
      </w:r>
      <w:r w:rsidR="00BA3DEF">
        <w:rPr>
          <w:rFonts w:ascii="Times New Roman" w:hAnsi="Times New Roman"/>
          <w:color w:val="000000"/>
          <w:sz w:val="24"/>
          <w:szCs w:val="21"/>
        </w:rPr>
        <w:t>ed from</w:t>
      </w:r>
      <w:r w:rsidR="009F7AD0">
        <w:rPr>
          <w:rFonts w:ascii="Times New Roman" w:hAnsi="Times New Roman"/>
          <w:color w:val="000000"/>
          <w:sz w:val="24"/>
          <w:szCs w:val="21"/>
        </w:rPr>
        <w:t xml:space="preserve"> the President’s Executive Order 13477</w:t>
      </w:r>
      <w:r w:rsidR="003B353C">
        <w:rPr>
          <w:rFonts w:ascii="Times New Roman" w:hAnsi="Times New Roman"/>
          <w:color w:val="000000"/>
          <w:sz w:val="24"/>
          <w:szCs w:val="21"/>
        </w:rPr>
        <w:t xml:space="preserve"> dated Oc</w:t>
      </w:r>
      <w:r w:rsidR="00BA3DEF">
        <w:rPr>
          <w:rFonts w:ascii="Times New Roman" w:hAnsi="Times New Roman"/>
          <w:color w:val="000000"/>
          <w:sz w:val="24"/>
          <w:szCs w:val="21"/>
        </w:rPr>
        <w:t>tober 31, 2008, implementing</w:t>
      </w:r>
      <w:r w:rsidR="003B353C">
        <w:rPr>
          <w:rFonts w:ascii="Times New Roman" w:hAnsi="Times New Roman"/>
          <w:color w:val="000000"/>
          <w:sz w:val="24"/>
          <w:szCs w:val="21"/>
        </w:rPr>
        <w:t xml:space="preserve"> the U.S.-Libya Claims Settlement Agreement of August 14, 2008, as well as the Libyan Claims Resolution Act (LCRA), passed by Congress and signed into law on August 4, 2008.  Pursuant to this Agreement and the LCRA, the government of </w:t>
      </w:r>
      <w:smartTag w:uri="urn:schemas-microsoft-com:office:smarttags" w:element="country-region">
        <w:r w:rsidR="003B353C">
          <w:rPr>
            <w:rFonts w:ascii="Times New Roman" w:hAnsi="Times New Roman"/>
            <w:color w:val="000000"/>
            <w:sz w:val="24"/>
            <w:szCs w:val="21"/>
          </w:rPr>
          <w:t>Libya</w:t>
        </w:r>
      </w:smartTag>
      <w:r w:rsidR="003B353C">
        <w:rPr>
          <w:rFonts w:ascii="Times New Roman" w:hAnsi="Times New Roman"/>
          <w:color w:val="000000"/>
          <w:sz w:val="24"/>
          <w:szCs w:val="21"/>
        </w:rPr>
        <w:t xml:space="preserve"> paid $1.5 billion</w:t>
      </w:r>
      <w:r w:rsidR="009F7AD0">
        <w:rPr>
          <w:rFonts w:ascii="Times New Roman" w:hAnsi="Times New Roman"/>
          <w:color w:val="000000"/>
          <w:sz w:val="24"/>
          <w:szCs w:val="21"/>
        </w:rPr>
        <w:t xml:space="preserve"> to the </w:t>
      </w:r>
      <w:smartTag w:uri="urn:schemas-microsoft-com:office:smarttags" w:element="country-region">
        <w:r w:rsidR="009F7AD0">
          <w:rPr>
            <w:rFonts w:ascii="Times New Roman" w:hAnsi="Times New Roman"/>
            <w:color w:val="000000"/>
            <w:sz w:val="24"/>
            <w:szCs w:val="21"/>
          </w:rPr>
          <w:t>United States</w:t>
        </w:r>
      </w:smartTag>
      <w:r w:rsidR="003B353C">
        <w:rPr>
          <w:rFonts w:ascii="Times New Roman" w:hAnsi="Times New Roman"/>
          <w:color w:val="000000"/>
          <w:sz w:val="24"/>
          <w:szCs w:val="21"/>
        </w:rPr>
        <w:t xml:space="preserve"> in order to provide immediate and</w:t>
      </w:r>
      <w:r w:rsidR="009F7AD0">
        <w:rPr>
          <w:rFonts w:ascii="Times New Roman" w:hAnsi="Times New Roman"/>
          <w:color w:val="000000"/>
          <w:sz w:val="24"/>
          <w:szCs w:val="21"/>
        </w:rPr>
        <w:t xml:space="preserve"> fair compensation to</w:t>
      </w:r>
      <w:r w:rsidR="00BA3DEF">
        <w:rPr>
          <w:rFonts w:ascii="Times New Roman" w:hAnsi="Times New Roman"/>
          <w:color w:val="000000"/>
          <w:sz w:val="24"/>
          <w:szCs w:val="21"/>
        </w:rPr>
        <w:t xml:space="preserve"> </w:t>
      </w:r>
      <w:smartTag w:uri="urn:schemas-microsoft-com:office:smarttags" w:element="country-region">
        <w:r w:rsidR="00BA3DEF">
          <w:rPr>
            <w:rFonts w:ascii="Times New Roman" w:hAnsi="Times New Roman"/>
            <w:color w:val="000000"/>
            <w:sz w:val="24"/>
            <w:szCs w:val="21"/>
          </w:rPr>
          <w:t>U.S.</w:t>
        </w:r>
      </w:smartTag>
      <w:r w:rsidR="003B353C">
        <w:rPr>
          <w:rFonts w:ascii="Times New Roman" w:hAnsi="Times New Roman"/>
          <w:color w:val="000000"/>
          <w:sz w:val="24"/>
          <w:szCs w:val="21"/>
        </w:rPr>
        <w:t xml:space="preserve"> nationals with terrorism-related claims against </w:t>
      </w:r>
      <w:smartTag w:uri="urn:schemas-microsoft-com:office:smarttags" w:element="country-region">
        <w:smartTag w:uri="urn:schemas-microsoft-com:office:smarttags" w:element="place">
          <w:r w:rsidR="003B353C">
            <w:rPr>
              <w:rFonts w:ascii="Times New Roman" w:hAnsi="Times New Roman"/>
              <w:color w:val="000000"/>
              <w:sz w:val="24"/>
              <w:szCs w:val="21"/>
            </w:rPr>
            <w:t>Libya</w:t>
          </w:r>
        </w:smartTag>
      </w:smartTag>
      <w:r w:rsidR="003B353C">
        <w:rPr>
          <w:rFonts w:ascii="Times New Roman" w:hAnsi="Times New Roman"/>
          <w:color w:val="000000"/>
          <w:sz w:val="24"/>
          <w:szCs w:val="21"/>
        </w:rPr>
        <w:t>.  This program was referred to the Commission by the Department of State Legal Adviser’s referral letters of Decembe</w:t>
      </w:r>
      <w:r w:rsidR="009F7AD0">
        <w:rPr>
          <w:rFonts w:ascii="Times New Roman" w:hAnsi="Times New Roman"/>
          <w:color w:val="000000"/>
          <w:sz w:val="24"/>
          <w:szCs w:val="21"/>
        </w:rPr>
        <w:t>r 11, 2008 and Ja</w:t>
      </w:r>
      <w:r w:rsidR="00E70A6E">
        <w:rPr>
          <w:rFonts w:ascii="Times New Roman" w:hAnsi="Times New Roman"/>
          <w:color w:val="000000"/>
          <w:sz w:val="24"/>
          <w:szCs w:val="21"/>
        </w:rPr>
        <w:t>nuary 15, 2009 pursuant to 22 U.S.C.</w:t>
      </w:r>
      <w:r w:rsidR="009F7AD0">
        <w:rPr>
          <w:rFonts w:ascii="Times New Roman" w:hAnsi="Times New Roman"/>
          <w:color w:val="000000"/>
          <w:sz w:val="24"/>
          <w:szCs w:val="21"/>
        </w:rPr>
        <w:t xml:space="preserve"> 1623 (a</w:t>
      </w:r>
      <w:proofErr w:type="gramStart"/>
      <w:r w:rsidR="009F7AD0">
        <w:rPr>
          <w:rFonts w:ascii="Times New Roman" w:hAnsi="Times New Roman"/>
          <w:color w:val="000000"/>
          <w:sz w:val="24"/>
          <w:szCs w:val="21"/>
        </w:rPr>
        <w:t>)(</w:t>
      </w:r>
      <w:proofErr w:type="gramEnd"/>
      <w:r w:rsidR="009F7AD0">
        <w:rPr>
          <w:rFonts w:ascii="Times New Roman" w:hAnsi="Times New Roman"/>
          <w:color w:val="000000"/>
          <w:sz w:val="24"/>
          <w:szCs w:val="21"/>
        </w:rPr>
        <w:t>1)(c).</w:t>
      </w:r>
    </w:p>
    <w:p w:rsidR="00F93996" w:rsidRDefault="00F93996"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D271C0" w:rsidRDefault="00F93996"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lastRenderedPageBreak/>
        <w:t>The</w:t>
      </w:r>
      <w:r w:rsidR="005975A2">
        <w:rPr>
          <w:rFonts w:ascii="Times New Roman" w:hAnsi="Times New Roman"/>
          <w:color w:val="000000"/>
          <w:sz w:val="24"/>
          <w:szCs w:val="21"/>
        </w:rPr>
        <w:t xml:space="preserve"> Commission will</w:t>
      </w:r>
      <w:r w:rsidR="00516C35">
        <w:rPr>
          <w:rFonts w:ascii="Times New Roman" w:hAnsi="Times New Roman"/>
          <w:color w:val="000000"/>
          <w:sz w:val="24"/>
          <w:szCs w:val="21"/>
        </w:rPr>
        <w:t xml:space="preserve"> also</w:t>
      </w:r>
      <w:r w:rsidR="005975A2">
        <w:rPr>
          <w:rFonts w:ascii="Times New Roman" w:hAnsi="Times New Roman"/>
          <w:color w:val="000000"/>
          <w:sz w:val="24"/>
          <w:szCs w:val="21"/>
        </w:rPr>
        <w:t xml:space="preserve"> continue to have authority u</w:t>
      </w:r>
      <w:r w:rsidR="00D271C0">
        <w:rPr>
          <w:rFonts w:ascii="Times New Roman" w:hAnsi="Times New Roman"/>
          <w:color w:val="000000"/>
          <w:sz w:val="24"/>
          <w:szCs w:val="21"/>
        </w:rPr>
        <w:t>nder the International Claims Settlement Act of 1949, as amend</w:t>
      </w:r>
      <w:r w:rsidR="00EC2D89">
        <w:rPr>
          <w:rFonts w:ascii="Times New Roman" w:hAnsi="Times New Roman"/>
          <w:color w:val="000000"/>
          <w:sz w:val="24"/>
          <w:szCs w:val="21"/>
        </w:rPr>
        <w:t>ed, and the 1995 United States</w:t>
      </w:r>
      <w:r w:rsidR="00D271C0">
        <w:rPr>
          <w:rFonts w:ascii="Times New Roman" w:hAnsi="Times New Roman"/>
          <w:color w:val="000000"/>
          <w:sz w:val="24"/>
          <w:szCs w:val="21"/>
        </w:rPr>
        <w:t xml:space="preserve">-Albanian claims settlement agreement, to make awards in any additional claims against Albania that </w:t>
      </w:r>
      <w:r w:rsidR="00A20AC7">
        <w:rPr>
          <w:rFonts w:ascii="Times New Roman" w:hAnsi="Times New Roman"/>
          <w:color w:val="000000"/>
          <w:sz w:val="24"/>
          <w:szCs w:val="21"/>
        </w:rPr>
        <w:t>are</w:t>
      </w:r>
      <w:r w:rsidR="00D271C0">
        <w:rPr>
          <w:rFonts w:ascii="Times New Roman" w:hAnsi="Times New Roman"/>
          <w:color w:val="000000"/>
          <w:sz w:val="24"/>
          <w:szCs w:val="21"/>
        </w:rPr>
        <w:t xml:space="preserve"> filed.  </w:t>
      </w:r>
      <w:r w:rsidR="005975A2">
        <w:rPr>
          <w:rFonts w:ascii="Times New Roman" w:hAnsi="Times New Roman"/>
          <w:color w:val="000000"/>
          <w:sz w:val="24"/>
          <w:szCs w:val="21"/>
        </w:rPr>
        <w:t xml:space="preserve"> In addition,</w:t>
      </w:r>
      <w:r w:rsidR="00EC2D89">
        <w:rPr>
          <w:rFonts w:ascii="Times New Roman" w:hAnsi="Times New Roman"/>
          <w:color w:val="000000"/>
          <w:sz w:val="24"/>
          <w:szCs w:val="21"/>
        </w:rPr>
        <w:t xml:space="preserve"> when appropriate,</w:t>
      </w:r>
      <w:r w:rsidR="005975A2">
        <w:rPr>
          <w:rFonts w:ascii="Times New Roman" w:hAnsi="Times New Roman"/>
          <w:color w:val="000000"/>
          <w:sz w:val="24"/>
          <w:szCs w:val="21"/>
        </w:rPr>
        <w:t xml:space="preserve"> the Commission will continue to reopen and reconsider claims it had previously denied, taking into account the modification of the</w:t>
      </w:r>
      <w:r w:rsidR="001A4763">
        <w:rPr>
          <w:rFonts w:ascii="Times New Roman" w:hAnsi="Times New Roman"/>
          <w:color w:val="000000"/>
          <w:sz w:val="24"/>
          <w:szCs w:val="21"/>
        </w:rPr>
        <w:t xml:space="preserve"> Albanian claims settlement</w:t>
      </w:r>
      <w:r w:rsidR="005975A2">
        <w:rPr>
          <w:rFonts w:ascii="Times New Roman" w:hAnsi="Times New Roman"/>
          <w:color w:val="000000"/>
          <w:sz w:val="24"/>
          <w:szCs w:val="21"/>
        </w:rPr>
        <w:t xml:space="preserve"> agreement effected in 2006.  </w:t>
      </w:r>
    </w:p>
    <w:p w:rsidR="00D271C0" w:rsidRDefault="00D271C0"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957F1A" w:rsidRDefault="00FC7486"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t>Additionally, the Commission will</w:t>
      </w:r>
      <w:r w:rsidR="00650AB3">
        <w:rPr>
          <w:rFonts w:ascii="Times New Roman" w:hAnsi="Times New Roman"/>
          <w:color w:val="000000"/>
          <w:sz w:val="24"/>
          <w:szCs w:val="21"/>
        </w:rPr>
        <w:t xml:space="preserve"> research and respond to requests for information concerning properties expropriated by the Castro regime in Cuba, in support of the Department of State’s continuing implementation</w:t>
      </w:r>
      <w:r w:rsidR="00EC2D89">
        <w:rPr>
          <w:rFonts w:ascii="Times New Roman" w:hAnsi="Times New Roman"/>
          <w:color w:val="000000"/>
          <w:sz w:val="24"/>
          <w:szCs w:val="21"/>
        </w:rPr>
        <w:t xml:space="preserve"> of Title IV</w:t>
      </w:r>
      <w:r w:rsidR="00650AB3">
        <w:rPr>
          <w:rFonts w:ascii="Times New Roman" w:hAnsi="Times New Roman"/>
          <w:color w:val="000000"/>
          <w:sz w:val="24"/>
          <w:szCs w:val="21"/>
        </w:rPr>
        <w:t xml:space="preserve"> of the Cuban Liberty and Democratic Solidarity (LIBERTAD) Act of 1996 (the "</w:t>
      </w:r>
      <w:proofErr w:type="spellStart"/>
      <w:r w:rsidR="00650AB3">
        <w:rPr>
          <w:rFonts w:ascii="Times New Roman" w:hAnsi="Times New Roman"/>
          <w:color w:val="000000"/>
          <w:sz w:val="24"/>
          <w:szCs w:val="21"/>
        </w:rPr>
        <w:t>Helms</w:t>
      </w:r>
      <w:r w:rsidR="00650AB3">
        <w:rPr>
          <w:rFonts w:ascii="Times New Roman" w:hAnsi="Times New Roman"/>
          <w:color w:val="000000"/>
          <w:sz w:val="24"/>
          <w:szCs w:val="21"/>
        </w:rPr>
        <w:noBreakHyphen/>
        <w:t>Bu</w:t>
      </w:r>
      <w:r w:rsidR="00B1318A">
        <w:rPr>
          <w:rFonts w:ascii="Times New Roman" w:hAnsi="Times New Roman"/>
          <w:color w:val="000000"/>
          <w:sz w:val="24"/>
          <w:szCs w:val="21"/>
        </w:rPr>
        <w:t>rton</w:t>
      </w:r>
      <w:proofErr w:type="spellEnd"/>
      <w:r w:rsidR="00B1318A">
        <w:rPr>
          <w:rFonts w:ascii="Times New Roman" w:hAnsi="Times New Roman"/>
          <w:color w:val="000000"/>
          <w:sz w:val="24"/>
          <w:szCs w:val="21"/>
        </w:rPr>
        <w:t xml:space="preserve"> Act").  The</w:t>
      </w:r>
      <w:r w:rsidR="00650AB3">
        <w:rPr>
          <w:rFonts w:ascii="Times New Roman" w:hAnsi="Times New Roman"/>
          <w:color w:val="000000"/>
          <w:sz w:val="24"/>
          <w:szCs w:val="21"/>
        </w:rPr>
        <w:t xml:space="preserve"> Commission </w:t>
      </w:r>
      <w:r>
        <w:rPr>
          <w:rFonts w:ascii="Times New Roman" w:hAnsi="Times New Roman"/>
          <w:color w:val="000000"/>
          <w:sz w:val="24"/>
          <w:szCs w:val="21"/>
        </w:rPr>
        <w:t>continues to</w:t>
      </w:r>
      <w:r w:rsidR="005975A2">
        <w:rPr>
          <w:rFonts w:ascii="Times New Roman" w:hAnsi="Times New Roman"/>
          <w:color w:val="000000"/>
          <w:sz w:val="24"/>
          <w:szCs w:val="21"/>
        </w:rPr>
        <w:t xml:space="preserve"> maintain and update a </w:t>
      </w:r>
      <w:r w:rsidR="00A967BA">
        <w:rPr>
          <w:rFonts w:ascii="Times New Roman" w:hAnsi="Times New Roman"/>
          <w:color w:val="000000"/>
          <w:sz w:val="24"/>
          <w:szCs w:val="21"/>
        </w:rPr>
        <w:t>computerized database of some 13</w:t>
      </w:r>
      <w:r w:rsidR="00650AB3">
        <w:rPr>
          <w:rFonts w:ascii="Times New Roman" w:hAnsi="Times New Roman"/>
          <w:color w:val="000000"/>
          <w:sz w:val="24"/>
          <w:szCs w:val="21"/>
        </w:rPr>
        <w:t xml:space="preserve">,000 </w:t>
      </w:r>
      <w:r w:rsidR="00BA3DEF">
        <w:rPr>
          <w:rFonts w:ascii="Times New Roman" w:hAnsi="Times New Roman"/>
          <w:color w:val="000000"/>
          <w:sz w:val="24"/>
          <w:szCs w:val="21"/>
        </w:rPr>
        <w:t>records containing specific information</w:t>
      </w:r>
      <w:r w:rsidR="00650AB3">
        <w:rPr>
          <w:rFonts w:ascii="Times New Roman" w:hAnsi="Times New Roman"/>
          <w:color w:val="000000"/>
          <w:sz w:val="24"/>
          <w:szCs w:val="21"/>
        </w:rPr>
        <w:t xml:space="preserve"> on all of the claims adjudicated in its Cuban Claims Program.  This</w:t>
      </w:r>
      <w:r w:rsidR="00BA3DEF">
        <w:rPr>
          <w:rFonts w:ascii="Times New Roman" w:hAnsi="Times New Roman"/>
          <w:color w:val="000000"/>
          <w:sz w:val="24"/>
          <w:szCs w:val="21"/>
        </w:rPr>
        <w:t xml:space="preserve"> database</w:t>
      </w:r>
      <w:r w:rsidR="00650AB3">
        <w:rPr>
          <w:rFonts w:ascii="Times New Roman" w:hAnsi="Times New Roman"/>
          <w:color w:val="000000"/>
          <w:sz w:val="24"/>
          <w:szCs w:val="21"/>
        </w:rPr>
        <w:t xml:space="preserve"> enable</w:t>
      </w:r>
      <w:r>
        <w:rPr>
          <w:rFonts w:ascii="Times New Roman" w:hAnsi="Times New Roman"/>
          <w:color w:val="000000"/>
          <w:sz w:val="24"/>
          <w:szCs w:val="21"/>
        </w:rPr>
        <w:t>s the Commission to respond</w:t>
      </w:r>
      <w:r w:rsidR="00650AB3">
        <w:rPr>
          <w:rFonts w:ascii="Times New Roman" w:hAnsi="Times New Roman"/>
          <w:color w:val="000000"/>
          <w:sz w:val="24"/>
          <w:szCs w:val="21"/>
        </w:rPr>
        <w:t xml:space="preserve"> more quickly and accurately</w:t>
      </w:r>
      <w:r w:rsidR="00BA3DEF">
        <w:rPr>
          <w:rFonts w:ascii="Times New Roman" w:hAnsi="Times New Roman"/>
          <w:color w:val="000000"/>
          <w:sz w:val="24"/>
          <w:szCs w:val="21"/>
        </w:rPr>
        <w:t xml:space="preserve"> to requests for information </w:t>
      </w:r>
      <w:proofErr w:type="gramStart"/>
      <w:r w:rsidR="00BA3DEF">
        <w:rPr>
          <w:rFonts w:ascii="Times New Roman" w:hAnsi="Times New Roman"/>
          <w:color w:val="000000"/>
          <w:sz w:val="24"/>
          <w:szCs w:val="21"/>
        </w:rPr>
        <w:t>from  the</w:t>
      </w:r>
      <w:proofErr w:type="gramEnd"/>
      <w:r w:rsidR="00BA3DEF">
        <w:rPr>
          <w:rFonts w:ascii="Times New Roman" w:hAnsi="Times New Roman"/>
          <w:color w:val="000000"/>
          <w:sz w:val="24"/>
          <w:szCs w:val="21"/>
        </w:rPr>
        <w:t xml:space="preserve"> State Department</w:t>
      </w:r>
      <w:r w:rsidR="00B1318A">
        <w:rPr>
          <w:rFonts w:ascii="Times New Roman" w:hAnsi="Times New Roman"/>
          <w:color w:val="000000"/>
          <w:sz w:val="24"/>
          <w:szCs w:val="21"/>
        </w:rPr>
        <w:t xml:space="preserve"> and the</w:t>
      </w:r>
      <w:r>
        <w:rPr>
          <w:rFonts w:ascii="Times New Roman" w:hAnsi="Times New Roman"/>
          <w:color w:val="000000"/>
          <w:sz w:val="24"/>
          <w:szCs w:val="21"/>
        </w:rPr>
        <w:t xml:space="preserve"> general</w:t>
      </w:r>
      <w:r w:rsidR="00B1318A">
        <w:rPr>
          <w:rFonts w:ascii="Times New Roman" w:hAnsi="Times New Roman"/>
          <w:color w:val="000000"/>
          <w:sz w:val="24"/>
          <w:szCs w:val="21"/>
        </w:rPr>
        <w:t xml:space="preserve"> publi</w:t>
      </w:r>
      <w:r w:rsidR="00BA3DEF">
        <w:rPr>
          <w:rFonts w:ascii="Times New Roman" w:hAnsi="Times New Roman"/>
          <w:color w:val="000000"/>
          <w:sz w:val="24"/>
          <w:szCs w:val="21"/>
        </w:rPr>
        <w:t>c.</w:t>
      </w:r>
      <w:r w:rsidR="00B1318A">
        <w:rPr>
          <w:rFonts w:ascii="Times New Roman" w:hAnsi="Times New Roman"/>
          <w:color w:val="000000"/>
          <w:sz w:val="24"/>
          <w:szCs w:val="21"/>
        </w:rPr>
        <w:t xml:space="preserve"> </w:t>
      </w:r>
      <w:r w:rsidR="00650AB3">
        <w:rPr>
          <w:rFonts w:ascii="Times New Roman" w:hAnsi="Times New Roman"/>
          <w:color w:val="000000"/>
          <w:sz w:val="24"/>
          <w:szCs w:val="21"/>
        </w:rPr>
        <w:t xml:space="preserve"> </w:t>
      </w:r>
    </w:p>
    <w:p w:rsidR="00957F1A" w:rsidRDefault="00957F1A"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EC2D89" w:rsidRDefault="00957F1A"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t>T</w:t>
      </w:r>
      <w:r w:rsidR="004A7B9E">
        <w:rPr>
          <w:rFonts w:ascii="Times New Roman" w:hAnsi="Times New Roman"/>
          <w:color w:val="000000"/>
          <w:sz w:val="24"/>
          <w:szCs w:val="21"/>
        </w:rPr>
        <w:t>he Commission expects to</w:t>
      </w:r>
      <w:r w:rsidR="00650AB3">
        <w:rPr>
          <w:rFonts w:ascii="Times New Roman" w:hAnsi="Times New Roman"/>
          <w:color w:val="000000"/>
          <w:sz w:val="24"/>
          <w:szCs w:val="21"/>
        </w:rPr>
        <w:t xml:space="preserve"> engage in preliminary planning for a </w:t>
      </w:r>
      <w:r w:rsidR="003F3573">
        <w:rPr>
          <w:rFonts w:ascii="Times New Roman" w:hAnsi="Times New Roman"/>
          <w:color w:val="000000"/>
          <w:sz w:val="24"/>
          <w:szCs w:val="21"/>
        </w:rPr>
        <w:t xml:space="preserve">possible future </w:t>
      </w:r>
      <w:r w:rsidR="00650AB3">
        <w:rPr>
          <w:rFonts w:ascii="Times New Roman" w:hAnsi="Times New Roman"/>
          <w:color w:val="000000"/>
          <w:sz w:val="24"/>
          <w:szCs w:val="21"/>
        </w:rPr>
        <w:t>program</w:t>
      </w:r>
      <w:r w:rsidR="004A7B9E">
        <w:rPr>
          <w:rFonts w:ascii="Times New Roman" w:hAnsi="Times New Roman"/>
          <w:color w:val="000000"/>
          <w:sz w:val="24"/>
          <w:szCs w:val="21"/>
        </w:rPr>
        <w:t xml:space="preserve"> relating to Guam and a program</w:t>
      </w:r>
      <w:r w:rsidR="00650AB3">
        <w:rPr>
          <w:rFonts w:ascii="Times New Roman" w:hAnsi="Times New Roman"/>
          <w:color w:val="000000"/>
          <w:sz w:val="24"/>
          <w:szCs w:val="21"/>
        </w:rPr>
        <w:t xml:space="preserve"> involving claims against </w:t>
      </w:r>
      <w:smartTag w:uri="urn:schemas-microsoft-com:office:smarttags" w:element="country-region">
        <w:smartTag w:uri="urn:schemas-microsoft-com:office:smarttags" w:element="place">
          <w:r w:rsidR="00650AB3">
            <w:rPr>
              <w:rFonts w:ascii="Times New Roman" w:hAnsi="Times New Roman"/>
              <w:color w:val="000000"/>
              <w:sz w:val="24"/>
              <w:szCs w:val="21"/>
            </w:rPr>
            <w:t>Iraq</w:t>
          </w:r>
        </w:smartTag>
      </w:smartTag>
      <w:r w:rsidR="004A7B9E">
        <w:rPr>
          <w:rFonts w:ascii="Times New Roman" w:hAnsi="Times New Roman"/>
          <w:color w:val="000000"/>
          <w:sz w:val="24"/>
          <w:szCs w:val="21"/>
        </w:rPr>
        <w:t>.  The Commission</w:t>
      </w:r>
      <w:r w:rsidR="00650AB3">
        <w:rPr>
          <w:rFonts w:ascii="Times New Roman" w:hAnsi="Times New Roman"/>
          <w:color w:val="000000"/>
          <w:sz w:val="24"/>
          <w:szCs w:val="21"/>
        </w:rPr>
        <w:t xml:space="preserve"> will provide, upon request, technical assistance to the Department of State in conducting</w:t>
      </w:r>
      <w:r w:rsidR="00D1343D">
        <w:rPr>
          <w:rFonts w:ascii="Times New Roman" w:hAnsi="Times New Roman"/>
          <w:color w:val="000000"/>
          <w:sz w:val="24"/>
          <w:szCs w:val="21"/>
        </w:rPr>
        <w:t xml:space="preserve"> any</w:t>
      </w:r>
      <w:r w:rsidR="00650AB3">
        <w:rPr>
          <w:rFonts w:ascii="Times New Roman" w:hAnsi="Times New Roman"/>
          <w:color w:val="000000"/>
          <w:sz w:val="24"/>
          <w:szCs w:val="21"/>
        </w:rPr>
        <w:t xml:space="preserve"> </w:t>
      </w:r>
      <w:proofErr w:type="spellStart"/>
      <w:r w:rsidR="00650AB3">
        <w:rPr>
          <w:rFonts w:ascii="Times New Roman" w:hAnsi="Times New Roman"/>
          <w:color w:val="000000"/>
          <w:sz w:val="24"/>
          <w:szCs w:val="21"/>
        </w:rPr>
        <w:t>government</w:t>
      </w:r>
      <w:r w:rsidR="00650AB3">
        <w:rPr>
          <w:rFonts w:ascii="Times New Roman" w:hAnsi="Times New Roman"/>
          <w:color w:val="000000"/>
          <w:sz w:val="24"/>
          <w:szCs w:val="21"/>
        </w:rPr>
        <w:noBreakHyphen/>
        <w:t>to</w:t>
      </w:r>
      <w:r w:rsidR="00650AB3">
        <w:rPr>
          <w:rFonts w:ascii="Times New Roman" w:hAnsi="Times New Roman"/>
          <w:color w:val="000000"/>
          <w:sz w:val="24"/>
          <w:szCs w:val="21"/>
        </w:rPr>
        <w:noBreakHyphen/>
        <w:t>government</w:t>
      </w:r>
      <w:proofErr w:type="spellEnd"/>
      <w:r w:rsidR="00650AB3">
        <w:rPr>
          <w:rFonts w:ascii="Times New Roman" w:hAnsi="Times New Roman"/>
          <w:color w:val="000000"/>
          <w:sz w:val="24"/>
          <w:szCs w:val="21"/>
        </w:rPr>
        <w:t xml:space="preserve"> claims settlement negotiations.  </w:t>
      </w:r>
    </w:p>
    <w:p w:rsidR="00EC2D89" w:rsidRDefault="00EC2D89"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650AB3" w:rsidRDefault="00650AB3"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r>
        <w:rPr>
          <w:rFonts w:ascii="Times New Roman" w:hAnsi="Times New Roman"/>
          <w:color w:val="000000"/>
          <w:sz w:val="24"/>
          <w:szCs w:val="21"/>
        </w:rPr>
        <w:t xml:space="preserve">Under the War Claims Act of 1948, as amended, the Commission will continue to have authority to award compensation to any previously uncompensated American servicemen held as prisoners of war in Southeast Asia during the </w:t>
      </w:r>
      <w:smartTag w:uri="urn:schemas-microsoft-com:office:smarttags" w:element="country-region">
        <w:smartTag w:uri="urn:schemas-microsoft-com:office:smarttags" w:element="place">
          <w:r>
            <w:rPr>
              <w:rFonts w:ascii="Times New Roman" w:hAnsi="Times New Roman"/>
              <w:color w:val="000000"/>
              <w:sz w:val="24"/>
              <w:szCs w:val="21"/>
            </w:rPr>
            <w:t>Vietnam</w:t>
          </w:r>
        </w:smartTag>
      </w:smartTag>
      <w:r>
        <w:rPr>
          <w:rFonts w:ascii="Times New Roman" w:hAnsi="Times New Roman"/>
          <w:color w:val="000000"/>
          <w:sz w:val="24"/>
          <w:szCs w:val="21"/>
        </w:rPr>
        <w:t xml:space="preserve"> conflict, or their survivors, for inadequate rations and inhumane treatment while in captivity.</w:t>
      </w:r>
    </w:p>
    <w:p w:rsidR="00650AB3" w:rsidRDefault="00650AB3" w:rsidP="00650A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1"/>
        </w:rPr>
      </w:pPr>
    </w:p>
    <w:p w:rsidR="00650AB3" w:rsidRDefault="00650AB3" w:rsidP="00650AB3">
      <w:pPr>
        <w:pStyle w:val="xl27"/>
        <w:spacing w:before="0" w:after="0"/>
        <w:rPr>
          <w:rFonts w:ascii="Times New Roman" w:hAnsi="Times New Roman"/>
          <w:b w:val="0"/>
          <w:bCs/>
          <w:color w:val="000000"/>
          <w:szCs w:val="21"/>
        </w:rPr>
      </w:pPr>
      <w:r>
        <w:rPr>
          <w:rFonts w:ascii="Times New Roman" w:hAnsi="Times New Roman"/>
          <w:b w:val="0"/>
          <w:bCs/>
          <w:color w:val="000000"/>
          <w:szCs w:val="21"/>
        </w:rPr>
        <w:t>In addition, the Commission will continue to fu</w:t>
      </w:r>
      <w:r w:rsidR="004A7B9E">
        <w:rPr>
          <w:rFonts w:ascii="Times New Roman" w:hAnsi="Times New Roman"/>
          <w:b w:val="0"/>
          <w:bCs/>
          <w:color w:val="000000"/>
          <w:szCs w:val="21"/>
        </w:rPr>
        <w:t>rnish information contained in its</w:t>
      </w:r>
      <w:r>
        <w:rPr>
          <w:rFonts w:ascii="Times New Roman" w:hAnsi="Times New Roman"/>
          <w:b w:val="0"/>
          <w:bCs/>
          <w:color w:val="000000"/>
          <w:szCs w:val="21"/>
        </w:rPr>
        <w:t xml:space="preserve"> records pertaining to the 4</w:t>
      </w:r>
      <w:r w:rsidR="005975A2">
        <w:rPr>
          <w:rFonts w:ascii="Times New Roman" w:hAnsi="Times New Roman"/>
          <w:b w:val="0"/>
          <w:bCs/>
          <w:color w:val="000000"/>
          <w:szCs w:val="21"/>
        </w:rPr>
        <w:t>5</w:t>
      </w:r>
      <w:r>
        <w:rPr>
          <w:rFonts w:ascii="Times New Roman" w:hAnsi="Times New Roman"/>
          <w:b w:val="0"/>
          <w:bCs/>
          <w:color w:val="000000"/>
          <w:szCs w:val="21"/>
        </w:rPr>
        <w:t xml:space="preserve"> completed international and </w:t>
      </w:r>
      <w:proofErr w:type="spellStart"/>
      <w:r>
        <w:rPr>
          <w:rFonts w:ascii="Times New Roman" w:hAnsi="Times New Roman"/>
          <w:b w:val="0"/>
          <w:bCs/>
          <w:color w:val="000000"/>
          <w:szCs w:val="21"/>
        </w:rPr>
        <w:t>war</w:t>
      </w:r>
      <w:r>
        <w:rPr>
          <w:rFonts w:ascii="Times New Roman" w:hAnsi="Times New Roman"/>
          <w:b w:val="0"/>
          <w:bCs/>
          <w:color w:val="000000"/>
          <w:szCs w:val="21"/>
        </w:rPr>
        <w:noBreakHyphen/>
        <w:t>related</w:t>
      </w:r>
      <w:proofErr w:type="spellEnd"/>
      <w:r>
        <w:rPr>
          <w:rFonts w:ascii="Times New Roman" w:hAnsi="Times New Roman"/>
          <w:b w:val="0"/>
          <w:bCs/>
          <w:color w:val="000000"/>
          <w:szCs w:val="21"/>
        </w:rPr>
        <w:t xml:space="preserve"> claims programs it has conducted, as requested by claimants</w:t>
      </w:r>
      <w:r w:rsidR="00957F1A">
        <w:rPr>
          <w:rFonts w:ascii="Times New Roman" w:hAnsi="Times New Roman"/>
          <w:b w:val="0"/>
          <w:bCs/>
          <w:color w:val="000000"/>
          <w:szCs w:val="21"/>
        </w:rPr>
        <w:t xml:space="preserve">, </w:t>
      </w:r>
      <w:r>
        <w:rPr>
          <w:rFonts w:ascii="Times New Roman" w:hAnsi="Times New Roman"/>
          <w:b w:val="0"/>
          <w:bCs/>
          <w:color w:val="000000"/>
          <w:szCs w:val="21"/>
        </w:rPr>
        <w:t xml:space="preserve">their heirs, attorneys, researchers, and other members </w:t>
      </w:r>
      <w:r w:rsidR="000D1E37">
        <w:rPr>
          <w:rFonts w:ascii="Times New Roman" w:hAnsi="Times New Roman"/>
          <w:b w:val="0"/>
          <w:bCs/>
          <w:color w:val="000000"/>
          <w:szCs w:val="21"/>
        </w:rPr>
        <w:t>of the public.  It</w:t>
      </w:r>
      <w:r>
        <w:rPr>
          <w:rFonts w:ascii="Times New Roman" w:hAnsi="Times New Roman"/>
          <w:b w:val="0"/>
          <w:bCs/>
          <w:color w:val="000000"/>
          <w:szCs w:val="21"/>
        </w:rPr>
        <w:t xml:space="preserve"> will also provide</w:t>
      </w:r>
      <w:r w:rsidR="00BA3DEF">
        <w:rPr>
          <w:rFonts w:ascii="Times New Roman" w:hAnsi="Times New Roman"/>
          <w:b w:val="0"/>
          <w:bCs/>
          <w:color w:val="000000"/>
          <w:szCs w:val="21"/>
        </w:rPr>
        <w:t xml:space="preserve"> to</w:t>
      </w:r>
      <w:r>
        <w:rPr>
          <w:rFonts w:ascii="Times New Roman" w:hAnsi="Times New Roman"/>
          <w:b w:val="0"/>
          <w:bCs/>
          <w:color w:val="000000"/>
          <w:szCs w:val="21"/>
        </w:rPr>
        <w:t xml:space="preserve"> other U</w:t>
      </w:r>
      <w:r w:rsidR="00957F1A">
        <w:rPr>
          <w:rFonts w:ascii="Times New Roman" w:hAnsi="Times New Roman"/>
          <w:b w:val="0"/>
          <w:bCs/>
          <w:color w:val="000000"/>
          <w:szCs w:val="21"/>
        </w:rPr>
        <w:t>.</w:t>
      </w:r>
      <w:r>
        <w:rPr>
          <w:rFonts w:ascii="Times New Roman" w:hAnsi="Times New Roman"/>
          <w:b w:val="0"/>
          <w:bCs/>
          <w:color w:val="000000"/>
          <w:szCs w:val="21"/>
        </w:rPr>
        <w:t>S</w:t>
      </w:r>
      <w:r w:rsidR="00957F1A">
        <w:rPr>
          <w:rFonts w:ascii="Times New Roman" w:hAnsi="Times New Roman"/>
          <w:b w:val="0"/>
          <w:bCs/>
          <w:color w:val="000000"/>
          <w:szCs w:val="21"/>
        </w:rPr>
        <w:t>.</w:t>
      </w:r>
      <w:r>
        <w:rPr>
          <w:rFonts w:ascii="Times New Roman" w:hAnsi="Times New Roman"/>
          <w:b w:val="0"/>
          <w:bCs/>
          <w:color w:val="000000"/>
          <w:szCs w:val="21"/>
        </w:rPr>
        <w:t xml:space="preserve"> </w:t>
      </w:r>
      <w:r w:rsidR="00957F1A">
        <w:rPr>
          <w:rFonts w:ascii="Times New Roman" w:hAnsi="Times New Roman"/>
          <w:b w:val="0"/>
          <w:bCs/>
          <w:color w:val="000000"/>
          <w:szCs w:val="21"/>
        </w:rPr>
        <w:t>a</w:t>
      </w:r>
      <w:r>
        <w:rPr>
          <w:rFonts w:ascii="Times New Roman" w:hAnsi="Times New Roman"/>
          <w:b w:val="0"/>
          <w:bCs/>
          <w:color w:val="000000"/>
          <w:szCs w:val="21"/>
        </w:rPr>
        <w:t>gencies</w:t>
      </w:r>
      <w:r w:rsidR="004A7B9E">
        <w:rPr>
          <w:rFonts w:ascii="Times New Roman" w:hAnsi="Times New Roman"/>
          <w:b w:val="0"/>
          <w:bCs/>
          <w:color w:val="000000"/>
          <w:szCs w:val="21"/>
        </w:rPr>
        <w:t xml:space="preserve"> technical</w:t>
      </w:r>
      <w:r>
        <w:rPr>
          <w:rFonts w:ascii="Times New Roman" w:hAnsi="Times New Roman"/>
          <w:b w:val="0"/>
          <w:bCs/>
          <w:color w:val="000000"/>
          <w:szCs w:val="21"/>
        </w:rPr>
        <w:t xml:space="preserve"> advice on</w:t>
      </w:r>
      <w:r w:rsidR="00182534">
        <w:rPr>
          <w:rFonts w:ascii="Times New Roman" w:hAnsi="Times New Roman"/>
          <w:b w:val="0"/>
          <w:bCs/>
          <w:color w:val="000000"/>
          <w:szCs w:val="21"/>
        </w:rPr>
        <w:t xml:space="preserve"> their policy</w:t>
      </w:r>
      <w:r w:rsidR="000B4AB4">
        <w:rPr>
          <w:rFonts w:ascii="Times New Roman" w:hAnsi="Times New Roman"/>
          <w:b w:val="0"/>
          <w:bCs/>
          <w:color w:val="000000"/>
          <w:szCs w:val="21"/>
        </w:rPr>
        <w:t xml:space="preserve"> determinations, participate in</w:t>
      </w:r>
      <w:r w:rsidR="00182534">
        <w:rPr>
          <w:rFonts w:ascii="Times New Roman" w:hAnsi="Times New Roman"/>
          <w:b w:val="0"/>
          <w:bCs/>
          <w:color w:val="000000"/>
          <w:szCs w:val="21"/>
        </w:rPr>
        <w:t xml:space="preserve"> </w:t>
      </w:r>
      <w:r w:rsidR="003C743F">
        <w:rPr>
          <w:rFonts w:ascii="Times New Roman" w:hAnsi="Times New Roman"/>
          <w:b w:val="0"/>
          <w:bCs/>
          <w:color w:val="000000"/>
          <w:szCs w:val="21"/>
        </w:rPr>
        <w:t>preliminary planning and</w:t>
      </w:r>
      <w:r>
        <w:rPr>
          <w:rFonts w:ascii="Times New Roman" w:hAnsi="Times New Roman"/>
          <w:b w:val="0"/>
          <w:bCs/>
          <w:color w:val="000000"/>
          <w:szCs w:val="21"/>
        </w:rPr>
        <w:t xml:space="preserve"> evaluation of pending</w:t>
      </w:r>
      <w:r w:rsidR="00182534">
        <w:rPr>
          <w:rFonts w:ascii="Times New Roman" w:hAnsi="Times New Roman"/>
          <w:b w:val="0"/>
          <w:bCs/>
          <w:color w:val="000000"/>
          <w:szCs w:val="21"/>
        </w:rPr>
        <w:t xml:space="preserve"> claims legislation, and coordinate</w:t>
      </w:r>
      <w:r>
        <w:rPr>
          <w:rFonts w:ascii="Times New Roman" w:hAnsi="Times New Roman"/>
          <w:b w:val="0"/>
          <w:bCs/>
          <w:color w:val="000000"/>
          <w:szCs w:val="21"/>
        </w:rPr>
        <w:t xml:space="preserve"> with Congressional committees considering</w:t>
      </w:r>
      <w:r w:rsidR="000D1E37">
        <w:rPr>
          <w:rFonts w:ascii="Times New Roman" w:hAnsi="Times New Roman"/>
          <w:b w:val="0"/>
          <w:bCs/>
          <w:color w:val="000000"/>
          <w:szCs w:val="21"/>
        </w:rPr>
        <w:t xml:space="preserve"> legislation</w:t>
      </w:r>
      <w:r>
        <w:rPr>
          <w:rFonts w:ascii="Times New Roman" w:hAnsi="Times New Roman"/>
          <w:b w:val="0"/>
          <w:bCs/>
          <w:color w:val="000000"/>
          <w:szCs w:val="21"/>
        </w:rPr>
        <w:t xml:space="preserve"> for a</w:t>
      </w:r>
      <w:r w:rsidR="000D1E37">
        <w:rPr>
          <w:rFonts w:ascii="Times New Roman" w:hAnsi="Times New Roman"/>
          <w:b w:val="0"/>
          <w:bCs/>
          <w:color w:val="000000"/>
          <w:szCs w:val="21"/>
        </w:rPr>
        <w:t>djudication of additional types</w:t>
      </w:r>
      <w:r>
        <w:rPr>
          <w:rFonts w:ascii="Times New Roman" w:hAnsi="Times New Roman"/>
          <w:b w:val="0"/>
          <w:bCs/>
          <w:color w:val="000000"/>
          <w:szCs w:val="21"/>
        </w:rPr>
        <w:t xml:space="preserve"> of claims.</w:t>
      </w:r>
    </w:p>
    <w:p w:rsidR="00650AB3" w:rsidRDefault="00650AB3" w:rsidP="00650AB3">
      <w:pPr>
        <w:pStyle w:val="xl27"/>
        <w:spacing w:before="0" w:after="0"/>
        <w:rPr>
          <w:b w:val="0"/>
          <w:bCs/>
          <w:i/>
          <w:iCs/>
          <w:color w:val="000000"/>
        </w:rPr>
      </w:pPr>
    </w:p>
    <w:p w:rsidR="00650AB3" w:rsidRDefault="00650AB3" w:rsidP="00650AB3">
      <w:pPr>
        <w:pStyle w:val="xl27"/>
        <w:spacing w:before="0" w:after="0"/>
        <w:rPr>
          <w:rFonts w:ascii="Times New Roman" w:hAnsi="Times New Roman"/>
          <w:color w:val="000000"/>
        </w:rPr>
      </w:pPr>
      <w:r>
        <w:rPr>
          <w:rFonts w:ascii="Times New Roman" w:hAnsi="Times New Roman"/>
          <w:color w:val="000000"/>
        </w:rPr>
        <w:t>3.   Challenges</w:t>
      </w:r>
    </w:p>
    <w:p w:rsidR="00650AB3" w:rsidRDefault="00650AB3" w:rsidP="00650AB3">
      <w:pPr>
        <w:pStyle w:val="xl27"/>
        <w:rPr>
          <w:rFonts w:ascii="Times New Roman" w:hAnsi="Times New Roman"/>
          <w:b w:val="0"/>
          <w:bCs/>
          <w:color w:val="000000"/>
        </w:rPr>
      </w:pPr>
      <w:r>
        <w:rPr>
          <w:rFonts w:ascii="Times New Roman" w:hAnsi="Times New Roman"/>
          <w:b w:val="0"/>
          <w:bCs/>
          <w:color w:val="000000"/>
        </w:rPr>
        <w:t>External Challenges</w:t>
      </w:r>
    </w:p>
    <w:p w:rsidR="00650AB3" w:rsidRDefault="00650AB3" w:rsidP="00650AB3">
      <w:pPr>
        <w:rPr>
          <w:bCs/>
          <w:color w:val="000000"/>
        </w:rPr>
      </w:pPr>
      <w:r>
        <w:rPr>
          <w:bCs/>
          <w:color w:val="000000"/>
        </w:rPr>
        <w:t xml:space="preserve">The Commission’s </w:t>
      </w:r>
      <w:r w:rsidR="00D271C0">
        <w:rPr>
          <w:bCs/>
          <w:color w:val="000000"/>
        </w:rPr>
        <w:t>external challenges include</w:t>
      </w:r>
      <w:r w:rsidR="00516C35">
        <w:rPr>
          <w:bCs/>
          <w:color w:val="000000"/>
        </w:rPr>
        <w:t xml:space="preserve"> being prepared for </w:t>
      </w:r>
      <w:r w:rsidR="00D271C0">
        <w:rPr>
          <w:bCs/>
          <w:color w:val="000000"/>
        </w:rPr>
        <w:t xml:space="preserve">a </w:t>
      </w:r>
      <w:r>
        <w:rPr>
          <w:bCs/>
          <w:color w:val="000000"/>
        </w:rPr>
        <w:t xml:space="preserve">workload </w:t>
      </w:r>
      <w:r w:rsidR="00D271C0">
        <w:rPr>
          <w:bCs/>
          <w:color w:val="000000"/>
        </w:rPr>
        <w:t xml:space="preserve">that </w:t>
      </w:r>
      <w:r>
        <w:rPr>
          <w:bCs/>
          <w:color w:val="000000"/>
        </w:rPr>
        <w:t xml:space="preserve">is dictated mostly by current </w:t>
      </w:r>
      <w:r w:rsidR="005975A2">
        <w:rPr>
          <w:bCs/>
          <w:color w:val="000000"/>
        </w:rPr>
        <w:t xml:space="preserve">and future </w:t>
      </w:r>
      <w:r>
        <w:rPr>
          <w:bCs/>
          <w:color w:val="000000"/>
        </w:rPr>
        <w:t xml:space="preserve">claims programs enacted by Congress </w:t>
      </w:r>
      <w:r w:rsidR="005975A2">
        <w:rPr>
          <w:bCs/>
          <w:color w:val="000000"/>
        </w:rPr>
        <w:t>or</w:t>
      </w:r>
      <w:r w:rsidR="0051256B">
        <w:rPr>
          <w:bCs/>
          <w:color w:val="000000"/>
        </w:rPr>
        <w:t xml:space="preserve"> referred to the Commission by the Department of State and by the number of claims filed. </w:t>
      </w:r>
      <w:r>
        <w:rPr>
          <w:bCs/>
          <w:color w:val="000000"/>
        </w:rPr>
        <w:t xml:space="preserve"> </w:t>
      </w:r>
      <w:r w:rsidR="00957F1A">
        <w:rPr>
          <w:bCs/>
          <w:color w:val="000000"/>
        </w:rPr>
        <w:t>Its challenges are t</w:t>
      </w:r>
      <w:r>
        <w:rPr>
          <w:bCs/>
          <w:color w:val="000000"/>
        </w:rPr>
        <w:t>o</w:t>
      </w:r>
      <w:r w:rsidR="004A7B9E">
        <w:rPr>
          <w:bCs/>
          <w:color w:val="000000"/>
        </w:rPr>
        <w:t xml:space="preserve"> notify and</w:t>
      </w:r>
      <w:r>
        <w:rPr>
          <w:bCs/>
          <w:color w:val="000000"/>
        </w:rPr>
        <w:t xml:space="preserve"> assist </w:t>
      </w:r>
      <w:smartTag w:uri="urn:schemas-microsoft-com:office:smarttags" w:element="country-region">
        <w:smartTag w:uri="urn:schemas-microsoft-com:office:smarttags" w:element="place">
          <w:r>
            <w:rPr>
              <w:bCs/>
              <w:color w:val="000000"/>
            </w:rPr>
            <w:t>U.S.</w:t>
          </w:r>
        </w:smartTag>
      </w:smartTag>
      <w:r>
        <w:rPr>
          <w:bCs/>
          <w:color w:val="000000"/>
        </w:rPr>
        <w:t xml:space="preserve"> nationals</w:t>
      </w:r>
      <w:r w:rsidR="00516C35">
        <w:rPr>
          <w:bCs/>
          <w:color w:val="000000"/>
        </w:rPr>
        <w:t xml:space="preserve"> in a timely fashion</w:t>
      </w:r>
      <w:r>
        <w:rPr>
          <w:bCs/>
          <w:color w:val="000000"/>
        </w:rPr>
        <w:t xml:space="preserve"> in filing</w:t>
      </w:r>
      <w:r w:rsidR="00471AC1">
        <w:rPr>
          <w:bCs/>
          <w:color w:val="000000"/>
        </w:rPr>
        <w:t xml:space="preserve"> and </w:t>
      </w:r>
      <w:r w:rsidR="00D45F5A">
        <w:rPr>
          <w:bCs/>
          <w:color w:val="000000"/>
        </w:rPr>
        <w:t>documenting their claims, to familiarize them with</w:t>
      </w:r>
      <w:r w:rsidR="00EC2D89">
        <w:rPr>
          <w:bCs/>
          <w:color w:val="000000"/>
        </w:rPr>
        <w:t xml:space="preserve"> the</w:t>
      </w:r>
      <w:r>
        <w:rPr>
          <w:bCs/>
          <w:color w:val="000000"/>
        </w:rPr>
        <w:t xml:space="preserve"> claims process</w:t>
      </w:r>
      <w:r w:rsidR="00957F1A">
        <w:rPr>
          <w:bCs/>
          <w:color w:val="000000"/>
        </w:rPr>
        <w:t>, and to</w:t>
      </w:r>
      <w:r>
        <w:rPr>
          <w:bCs/>
          <w:color w:val="000000"/>
        </w:rPr>
        <w:t xml:space="preserve"> </w:t>
      </w:r>
      <w:r w:rsidR="00957F1A">
        <w:rPr>
          <w:bCs/>
          <w:color w:val="000000"/>
        </w:rPr>
        <w:t xml:space="preserve">respond </w:t>
      </w:r>
      <w:r>
        <w:rPr>
          <w:bCs/>
          <w:color w:val="000000"/>
        </w:rPr>
        <w:t xml:space="preserve">efficiently </w:t>
      </w:r>
      <w:r w:rsidR="00957F1A">
        <w:rPr>
          <w:bCs/>
          <w:color w:val="000000"/>
        </w:rPr>
        <w:t>to</w:t>
      </w:r>
      <w:r>
        <w:rPr>
          <w:bCs/>
          <w:color w:val="000000"/>
        </w:rPr>
        <w:t xml:space="preserve"> all inquiries by the public, Congress, and other federal agencies about current and past programs.</w:t>
      </w:r>
    </w:p>
    <w:p w:rsidR="00650AB3" w:rsidRDefault="00650AB3" w:rsidP="00650AB3">
      <w:pPr>
        <w:pStyle w:val="BodyText"/>
        <w:rPr>
          <w:rFonts w:ascii="Arial" w:hAnsi="Arial"/>
          <w:b/>
          <w:color w:val="000000"/>
        </w:rPr>
      </w:pPr>
    </w:p>
    <w:p w:rsidR="00650AB3" w:rsidRDefault="00650AB3" w:rsidP="00650AB3">
      <w:pPr>
        <w:pStyle w:val="xl27"/>
        <w:rPr>
          <w:rFonts w:ascii="Times New Roman" w:hAnsi="Times New Roman"/>
          <w:b w:val="0"/>
          <w:bCs/>
          <w:color w:val="000000"/>
        </w:rPr>
      </w:pPr>
      <w:r>
        <w:rPr>
          <w:rFonts w:ascii="Times New Roman" w:hAnsi="Times New Roman"/>
          <w:b w:val="0"/>
          <w:bCs/>
          <w:color w:val="000000"/>
        </w:rPr>
        <w:t>Internal Challenges</w:t>
      </w:r>
    </w:p>
    <w:p w:rsidR="00650AB3" w:rsidRDefault="00650AB3" w:rsidP="00650AB3">
      <w:pPr>
        <w:pStyle w:val="BodyText"/>
        <w:rPr>
          <w:color w:val="000000"/>
        </w:rPr>
      </w:pPr>
      <w:r>
        <w:rPr>
          <w:color w:val="000000"/>
        </w:rPr>
        <w:t>The</w:t>
      </w:r>
      <w:r w:rsidR="00957F1A">
        <w:rPr>
          <w:color w:val="000000"/>
        </w:rPr>
        <w:t xml:space="preserve"> internal challenges the</w:t>
      </w:r>
      <w:r>
        <w:rPr>
          <w:color w:val="000000"/>
        </w:rPr>
        <w:t xml:space="preserve"> Commission </w:t>
      </w:r>
      <w:r w:rsidR="00957F1A">
        <w:rPr>
          <w:color w:val="000000"/>
        </w:rPr>
        <w:t>faces include</w:t>
      </w:r>
      <w:r w:rsidR="00516C35">
        <w:rPr>
          <w:color w:val="000000"/>
        </w:rPr>
        <w:t xml:space="preserve"> maintaining and</w:t>
      </w:r>
      <w:r w:rsidR="00957F1A">
        <w:rPr>
          <w:color w:val="000000"/>
        </w:rPr>
        <w:t xml:space="preserve"> </w:t>
      </w:r>
      <w:r>
        <w:rPr>
          <w:color w:val="000000"/>
        </w:rPr>
        <w:t>focus</w:t>
      </w:r>
      <w:r w:rsidR="00957F1A">
        <w:rPr>
          <w:color w:val="000000"/>
        </w:rPr>
        <w:t>ing</w:t>
      </w:r>
      <w:r>
        <w:rPr>
          <w:color w:val="000000"/>
        </w:rPr>
        <w:t xml:space="preserve"> the skills, expertise, and experience of its</w:t>
      </w:r>
      <w:r w:rsidR="004A7B9E">
        <w:rPr>
          <w:color w:val="000000"/>
        </w:rPr>
        <w:t xml:space="preserve"> small</w:t>
      </w:r>
      <w:r>
        <w:rPr>
          <w:color w:val="000000"/>
        </w:rPr>
        <w:t xml:space="preserve"> staff to assist U.S. nationals with claims against foreign governments as well as to provide technical assistance in this area to the Department of State and </w:t>
      </w:r>
      <w:r w:rsidR="004A7B9E">
        <w:rPr>
          <w:color w:val="000000"/>
        </w:rPr>
        <w:lastRenderedPageBreak/>
        <w:t>other federal agencies</w:t>
      </w:r>
      <w:r>
        <w:rPr>
          <w:color w:val="000000"/>
        </w:rPr>
        <w:t xml:space="preserve"> upon request</w:t>
      </w:r>
      <w:r w:rsidR="00957F1A">
        <w:rPr>
          <w:color w:val="000000"/>
        </w:rPr>
        <w:t xml:space="preserve">, while at the same time </w:t>
      </w:r>
      <w:r w:rsidR="003F3573">
        <w:rPr>
          <w:color w:val="000000"/>
        </w:rPr>
        <w:t>continuing</w:t>
      </w:r>
      <w:r w:rsidR="00957F1A">
        <w:rPr>
          <w:color w:val="000000"/>
        </w:rPr>
        <w:t xml:space="preserve"> its</w:t>
      </w:r>
      <w:r w:rsidR="00516C35">
        <w:rPr>
          <w:color w:val="000000"/>
        </w:rPr>
        <w:t xml:space="preserve"> claims records</w:t>
      </w:r>
      <w:r w:rsidR="00957F1A">
        <w:rPr>
          <w:color w:val="000000"/>
        </w:rPr>
        <w:t xml:space="preserve"> modernization effort by </w:t>
      </w:r>
      <w:r w:rsidR="005975A2">
        <w:rPr>
          <w:color w:val="000000"/>
        </w:rPr>
        <w:t>improving</w:t>
      </w:r>
      <w:r w:rsidR="00A967BA">
        <w:rPr>
          <w:color w:val="000000"/>
        </w:rPr>
        <w:t xml:space="preserve"> and updating the information in</w:t>
      </w:r>
      <w:r w:rsidR="005975A2">
        <w:rPr>
          <w:color w:val="000000"/>
        </w:rPr>
        <w:t xml:space="preserve"> its datab</w:t>
      </w:r>
      <w:r w:rsidR="00957F1A">
        <w:rPr>
          <w:color w:val="000000"/>
        </w:rPr>
        <w:t>ases and</w:t>
      </w:r>
      <w:r w:rsidR="004A7B9E">
        <w:rPr>
          <w:color w:val="000000"/>
        </w:rPr>
        <w:t xml:space="preserve"> on</w:t>
      </w:r>
      <w:r w:rsidR="00957F1A">
        <w:rPr>
          <w:color w:val="000000"/>
        </w:rPr>
        <w:t xml:space="preserve"> </w:t>
      </w:r>
      <w:r w:rsidR="00516C35">
        <w:rPr>
          <w:color w:val="000000"/>
        </w:rPr>
        <w:t>its website.</w:t>
      </w:r>
    </w:p>
    <w:p w:rsidR="00650AB3" w:rsidRDefault="00650AB3" w:rsidP="00650AB3">
      <w:pPr>
        <w:pStyle w:val="BodyText"/>
        <w:ind w:firstLine="720"/>
        <w:rPr>
          <w:color w:val="000000"/>
        </w:rPr>
      </w:pPr>
    </w:p>
    <w:p w:rsidR="0051256B" w:rsidRPr="0051256B" w:rsidRDefault="0051256B" w:rsidP="0051256B">
      <w:pPr>
        <w:pStyle w:val="BodyText"/>
        <w:rPr>
          <w:b/>
          <w:color w:val="000000"/>
        </w:rPr>
      </w:pPr>
      <w:r>
        <w:rPr>
          <w:b/>
          <w:color w:val="000000"/>
        </w:rPr>
        <w:t>4.  Performance Challenges</w:t>
      </w:r>
    </w:p>
    <w:p w:rsidR="00650AB3" w:rsidRDefault="00650AB3" w:rsidP="00650AB3">
      <w:pPr>
        <w:pStyle w:val="xl27"/>
        <w:rPr>
          <w:rFonts w:ascii="Times New Roman" w:hAnsi="Times New Roman"/>
          <w:b w:val="0"/>
          <w:bCs/>
          <w:color w:val="000000"/>
        </w:rPr>
      </w:pPr>
      <w:r>
        <w:rPr>
          <w:rFonts w:ascii="Times New Roman" w:hAnsi="Times New Roman"/>
          <w:b w:val="0"/>
          <w:bCs/>
          <w:color w:val="000000"/>
        </w:rPr>
        <w:t>The Commissi</w:t>
      </w:r>
      <w:r w:rsidR="002B6A4B">
        <w:rPr>
          <w:rFonts w:ascii="Times New Roman" w:hAnsi="Times New Roman"/>
          <w:b w:val="0"/>
          <w:bCs/>
          <w:color w:val="000000"/>
        </w:rPr>
        <w:t>on is an independent agency.  Its</w:t>
      </w:r>
      <w:r>
        <w:rPr>
          <w:rFonts w:ascii="Times New Roman" w:hAnsi="Times New Roman"/>
          <w:b w:val="0"/>
          <w:bCs/>
          <w:color w:val="000000"/>
        </w:rPr>
        <w:t xml:space="preserve"> budget is fully integrated with its own</w:t>
      </w:r>
      <w:r w:rsidR="004A7B9E">
        <w:rPr>
          <w:rFonts w:ascii="Times New Roman" w:hAnsi="Times New Roman"/>
          <w:b w:val="0"/>
          <w:bCs/>
          <w:color w:val="000000"/>
        </w:rPr>
        <w:t xml:space="preserve"> priorities and corresponds</w:t>
      </w:r>
      <w:r>
        <w:rPr>
          <w:rFonts w:ascii="Times New Roman" w:hAnsi="Times New Roman"/>
          <w:b w:val="0"/>
          <w:bCs/>
          <w:color w:val="000000"/>
        </w:rPr>
        <w:t xml:space="preserve"> to th</w:t>
      </w:r>
      <w:r w:rsidR="00AE123C">
        <w:rPr>
          <w:rFonts w:ascii="Times New Roman" w:hAnsi="Times New Roman"/>
          <w:b w:val="0"/>
          <w:bCs/>
          <w:color w:val="000000"/>
        </w:rPr>
        <w:t>e Department’s Strategic Goal 2:  Prevent Crime,</w:t>
      </w:r>
      <w:r>
        <w:rPr>
          <w:rFonts w:ascii="Times New Roman" w:hAnsi="Times New Roman"/>
          <w:b w:val="0"/>
          <w:bCs/>
          <w:color w:val="000000"/>
        </w:rPr>
        <w:t xml:space="preserve"> Enforce Federal Laws and Represent the Rights and Interests of the American People. </w:t>
      </w:r>
    </w:p>
    <w:p w:rsidR="008A39E3" w:rsidRDefault="008A39E3" w:rsidP="00650AB3">
      <w:pPr>
        <w:pStyle w:val="BodyText"/>
        <w:rPr>
          <w:b/>
          <w:bCs/>
          <w:color w:val="000000"/>
        </w:rPr>
      </w:pPr>
    </w:p>
    <w:p w:rsidR="00650AB3" w:rsidRDefault="00650AB3" w:rsidP="00650AB3">
      <w:pPr>
        <w:pStyle w:val="BodyText"/>
        <w:rPr>
          <w:color w:val="000000"/>
          <w:sz w:val="20"/>
        </w:rPr>
      </w:pPr>
      <w:r>
        <w:rPr>
          <w:color w:val="000000"/>
          <w:sz w:val="20"/>
        </w:rPr>
        <w:t xml:space="preserve">    </w:t>
      </w:r>
    </w:p>
    <w:p w:rsidR="00220760" w:rsidRDefault="00220760" w:rsidP="00650AB3">
      <w:pPr>
        <w:pStyle w:val="BodyText"/>
        <w:rPr>
          <w:bCs/>
          <w:color w:val="000000"/>
        </w:rPr>
      </w:pPr>
    </w:p>
    <w:p w:rsidR="00650AB3" w:rsidRPr="0036351F" w:rsidRDefault="00650AB3" w:rsidP="00650AB3">
      <w:pPr>
        <w:pStyle w:val="BodyText"/>
        <w:rPr>
          <w:b/>
          <w:bCs/>
          <w:color w:val="000000"/>
        </w:rPr>
      </w:pPr>
    </w:p>
    <w:p w:rsidR="005523D4" w:rsidRPr="00650AB3" w:rsidRDefault="005523D4">
      <w:pPr>
        <w:pStyle w:val="BodyText"/>
      </w:pPr>
      <w:r>
        <w:t xml:space="preserve">   </w:t>
      </w:r>
    </w:p>
    <w:p w:rsidR="006955E3" w:rsidRDefault="00927DD2">
      <w:pPr>
        <w:pStyle w:val="BodyText"/>
        <w:rPr>
          <w:rFonts w:cs="Arial"/>
          <w:b/>
          <w:bCs/>
        </w:rPr>
      </w:pPr>
      <w:r>
        <w:rPr>
          <w:rFonts w:cs="Arial"/>
          <w:b/>
          <w:bCs/>
        </w:rPr>
        <w:br w:type="page"/>
      </w:r>
    </w:p>
    <w:p w:rsidR="00220760" w:rsidRDefault="00220760">
      <w:pPr>
        <w:pStyle w:val="BodyText"/>
        <w:rPr>
          <w:rFonts w:cs="Arial"/>
          <w:b/>
          <w:bCs/>
        </w:rPr>
      </w:pPr>
    </w:p>
    <w:p w:rsidR="00220760" w:rsidRDefault="00220760">
      <w:pPr>
        <w:pStyle w:val="BodyText"/>
        <w:rPr>
          <w:rFonts w:cs="Arial"/>
          <w:b/>
          <w:bCs/>
        </w:rPr>
      </w:pPr>
    </w:p>
    <w:p w:rsidR="006955E3" w:rsidRDefault="002559DD">
      <w:pPr>
        <w:pStyle w:val="BodyText"/>
        <w:rPr>
          <w:rFonts w:cs="Arial"/>
          <w:b/>
          <w:bCs/>
        </w:rPr>
      </w:pPr>
      <w:r>
        <w:rPr>
          <w:rFonts w:cs="Arial"/>
          <w:b/>
          <w:bCs/>
        </w:rPr>
        <w:t>III.</w:t>
      </w:r>
      <w:r w:rsidR="006979E7">
        <w:rPr>
          <w:rFonts w:cs="Arial"/>
          <w:b/>
          <w:bCs/>
        </w:rPr>
        <w:t xml:space="preserve"> </w:t>
      </w:r>
      <w:r w:rsidR="00581B24">
        <w:rPr>
          <w:rFonts w:cs="Arial"/>
          <w:b/>
          <w:bCs/>
        </w:rPr>
        <w:t xml:space="preserve"> </w:t>
      </w:r>
      <w:r w:rsidR="008F40DD">
        <w:rPr>
          <w:rFonts w:cs="Arial"/>
          <w:b/>
          <w:bCs/>
        </w:rPr>
        <w:t xml:space="preserve"> </w:t>
      </w:r>
      <w:r w:rsidR="006955E3">
        <w:rPr>
          <w:rFonts w:cs="Arial"/>
          <w:b/>
          <w:bCs/>
        </w:rPr>
        <w:t>Appropriation Language and Analysis of Appropriation Language</w:t>
      </w:r>
    </w:p>
    <w:p w:rsidR="006955E3" w:rsidRDefault="006955E3">
      <w:pPr>
        <w:pStyle w:val="BodyText"/>
        <w:rPr>
          <w:rFonts w:cs="Arial"/>
          <w:b/>
          <w:bCs/>
        </w:rPr>
      </w:pPr>
    </w:p>
    <w:p w:rsidR="006955E3" w:rsidRDefault="006955E3">
      <w:pPr>
        <w:pStyle w:val="BodyText"/>
        <w:rPr>
          <w:rFonts w:cs="Arial"/>
          <w:b/>
          <w:bCs/>
        </w:rPr>
      </w:pPr>
      <w:r>
        <w:rPr>
          <w:rFonts w:cs="Arial"/>
          <w:b/>
          <w:bCs/>
        </w:rPr>
        <w:t>Appropriation Language</w:t>
      </w:r>
    </w:p>
    <w:p w:rsidR="006955E3" w:rsidRDefault="006955E3">
      <w:pPr>
        <w:pStyle w:val="BodyText"/>
        <w:rPr>
          <w:rFonts w:cs="Arial"/>
          <w:b/>
          <w:bCs/>
        </w:rPr>
      </w:pPr>
    </w:p>
    <w:p w:rsidR="006955E3" w:rsidRPr="006955E3" w:rsidRDefault="00A00628">
      <w:pPr>
        <w:pStyle w:val="BodyText"/>
        <w:rPr>
          <w:rFonts w:cs="Arial"/>
          <w:bCs/>
        </w:rPr>
      </w:pPr>
      <w:r>
        <w:rPr>
          <w:rFonts w:cs="Arial"/>
          <w:bCs/>
        </w:rPr>
        <w:t>The 2012</w:t>
      </w:r>
      <w:r w:rsidR="006955E3" w:rsidRPr="006955E3">
        <w:rPr>
          <w:rFonts w:cs="Arial"/>
          <w:bCs/>
        </w:rPr>
        <w:t xml:space="preserve"> budget estimates include proposed changes in the appropriation language listed below.  New language is italicized and underlined, and language proposed for deletion is bracketed.</w:t>
      </w:r>
    </w:p>
    <w:p w:rsidR="006955E3" w:rsidRDefault="006955E3">
      <w:pPr>
        <w:pStyle w:val="BodyText"/>
        <w:rPr>
          <w:rFonts w:cs="Arial"/>
          <w:b/>
          <w:bCs/>
        </w:rPr>
      </w:pPr>
    </w:p>
    <w:p w:rsidR="006955E3" w:rsidRDefault="006955E3">
      <w:pPr>
        <w:pStyle w:val="BodyText"/>
        <w:rPr>
          <w:rFonts w:cs="Arial"/>
          <w:b/>
          <w:bCs/>
        </w:rPr>
      </w:pPr>
    </w:p>
    <w:p w:rsidR="006955E3" w:rsidRPr="006955E3" w:rsidRDefault="006955E3">
      <w:pPr>
        <w:pStyle w:val="BodyText"/>
        <w:rPr>
          <w:rFonts w:cs="Arial"/>
          <w:bCs/>
        </w:rPr>
      </w:pPr>
    </w:p>
    <w:p w:rsidR="006955E3" w:rsidRPr="006955E3" w:rsidRDefault="006955E3">
      <w:pPr>
        <w:pStyle w:val="BodyText"/>
        <w:rPr>
          <w:rFonts w:cs="Arial"/>
          <w:bCs/>
        </w:rPr>
      </w:pPr>
      <w:r w:rsidRPr="006955E3">
        <w:rPr>
          <w:rFonts w:cs="Arial"/>
          <w:bCs/>
        </w:rPr>
        <w:t>SALARIES AND EXPENSES, FOREIGN CLAIMS SETTLEMENT COMMISSION</w:t>
      </w:r>
    </w:p>
    <w:p w:rsidR="006955E3" w:rsidRPr="006955E3" w:rsidRDefault="006955E3">
      <w:pPr>
        <w:pStyle w:val="BodyText"/>
        <w:rPr>
          <w:rFonts w:cs="Arial"/>
          <w:bCs/>
        </w:rPr>
      </w:pPr>
    </w:p>
    <w:p w:rsidR="006955E3" w:rsidRDefault="006955E3">
      <w:pPr>
        <w:pStyle w:val="BodyText"/>
        <w:rPr>
          <w:rFonts w:cs="Arial"/>
          <w:bCs/>
        </w:rPr>
      </w:pPr>
      <w:r w:rsidRPr="00C857D5">
        <w:rPr>
          <w:rStyle w:val="Emphasis"/>
          <w:u w:val="single"/>
        </w:rPr>
        <w:t>For expenses necessary to carry out the activities of the Foreign Claims Settlement Commission</w:t>
      </w:r>
      <w:r w:rsidRPr="00C857D5">
        <w:rPr>
          <w:rFonts w:cs="Arial"/>
          <w:bCs/>
          <w:u w:val="single"/>
        </w:rPr>
        <w:t>,</w:t>
      </w:r>
      <w:r w:rsidRPr="008F40DD">
        <w:rPr>
          <w:rFonts w:cs="Arial"/>
          <w:bCs/>
        </w:rPr>
        <w:t xml:space="preserve"> </w:t>
      </w:r>
      <w:r w:rsidRPr="00C857D5">
        <w:rPr>
          <w:rStyle w:val="Emphasis"/>
          <w:u w:val="single"/>
        </w:rPr>
        <w:t>including services as a</w:t>
      </w:r>
      <w:r w:rsidR="005C3D0B" w:rsidRPr="00C857D5">
        <w:rPr>
          <w:rStyle w:val="Emphasis"/>
          <w:u w:val="single"/>
        </w:rPr>
        <w:t>ut</w:t>
      </w:r>
      <w:r w:rsidR="00703B09" w:rsidRPr="00C857D5">
        <w:rPr>
          <w:rStyle w:val="Emphasis"/>
          <w:u w:val="single"/>
        </w:rPr>
        <w:t>horized by</w:t>
      </w:r>
      <w:r w:rsidR="00C857D5" w:rsidRPr="00C857D5">
        <w:rPr>
          <w:rStyle w:val="Emphasis"/>
          <w:u w:val="single"/>
        </w:rPr>
        <w:t xml:space="preserve"> section 3109 of title 5, United States Code, $2,124,000</w:t>
      </w:r>
      <w:r w:rsidR="00C857D5">
        <w:rPr>
          <w:rFonts w:cs="Arial"/>
          <w:bCs/>
          <w:u w:val="single"/>
        </w:rPr>
        <w:t>.</w:t>
      </w:r>
      <w:r w:rsidR="00C857D5">
        <w:rPr>
          <w:rFonts w:cs="Arial"/>
          <w:bCs/>
        </w:rPr>
        <w:t xml:space="preserve"> </w:t>
      </w:r>
    </w:p>
    <w:p w:rsidR="006955E3" w:rsidRDefault="006955E3">
      <w:pPr>
        <w:pStyle w:val="BodyText"/>
        <w:rPr>
          <w:rFonts w:cs="Arial"/>
          <w:bCs/>
        </w:rPr>
      </w:pPr>
    </w:p>
    <w:p w:rsidR="006955E3" w:rsidRDefault="006955E3">
      <w:pPr>
        <w:pStyle w:val="BodyText"/>
        <w:rPr>
          <w:rFonts w:cs="Arial"/>
          <w:bCs/>
        </w:rPr>
      </w:pPr>
    </w:p>
    <w:p w:rsidR="006955E3" w:rsidRDefault="006955E3">
      <w:pPr>
        <w:pStyle w:val="BodyText"/>
        <w:rPr>
          <w:rFonts w:cs="Arial"/>
          <w:bCs/>
        </w:rPr>
      </w:pPr>
    </w:p>
    <w:p w:rsidR="006955E3" w:rsidRDefault="006955E3">
      <w:pPr>
        <w:pStyle w:val="BodyText"/>
        <w:rPr>
          <w:rFonts w:cs="Arial"/>
          <w:bCs/>
        </w:rPr>
      </w:pPr>
    </w:p>
    <w:p w:rsidR="006955E3" w:rsidRDefault="006955E3">
      <w:pPr>
        <w:pStyle w:val="BodyText"/>
        <w:rPr>
          <w:rFonts w:cs="Arial"/>
          <w:bCs/>
        </w:rPr>
      </w:pPr>
    </w:p>
    <w:p w:rsidR="006955E3" w:rsidRDefault="006955E3">
      <w:pPr>
        <w:pStyle w:val="BodyText"/>
        <w:rPr>
          <w:rFonts w:cs="Arial"/>
          <w:bCs/>
        </w:rPr>
      </w:pPr>
    </w:p>
    <w:p w:rsidR="006955E3" w:rsidRPr="006955E3" w:rsidRDefault="006955E3">
      <w:pPr>
        <w:pStyle w:val="BodyText"/>
        <w:rPr>
          <w:rFonts w:cs="Arial"/>
          <w:b/>
          <w:bCs/>
        </w:rPr>
      </w:pPr>
      <w:r w:rsidRPr="006955E3">
        <w:rPr>
          <w:rFonts w:cs="Arial"/>
          <w:b/>
          <w:bCs/>
        </w:rPr>
        <w:t>Analysis of Appropriation Language</w:t>
      </w:r>
    </w:p>
    <w:p w:rsidR="006955E3" w:rsidRDefault="006955E3">
      <w:pPr>
        <w:pStyle w:val="BodyText"/>
        <w:rPr>
          <w:rFonts w:cs="Arial"/>
          <w:bCs/>
        </w:rPr>
      </w:pPr>
    </w:p>
    <w:p w:rsidR="00353643" w:rsidRDefault="009346BD" w:rsidP="0078675E">
      <w:pPr>
        <w:pStyle w:val="BodyText"/>
        <w:rPr>
          <w:rFonts w:cs="Arial"/>
          <w:bCs/>
        </w:rPr>
      </w:pPr>
      <w:r>
        <w:rPr>
          <w:rFonts w:cs="Arial"/>
          <w:bCs/>
        </w:rPr>
        <w:t>No substantive changes are pr</w:t>
      </w:r>
      <w:r w:rsidR="006955E3">
        <w:rPr>
          <w:rFonts w:cs="Arial"/>
          <w:bCs/>
        </w:rPr>
        <w:t>oposed.</w:t>
      </w:r>
    </w:p>
    <w:p w:rsidR="00353643" w:rsidRDefault="00353643" w:rsidP="0078675E">
      <w:pPr>
        <w:pStyle w:val="BodyText"/>
        <w:rPr>
          <w:rFonts w:cs="Arial"/>
          <w:bCs/>
        </w:rPr>
      </w:pPr>
    </w:p>
    <w:p w:rsidR="00353643" w:rsidRPr="00353643" w:rsidRDefault="00353643" w:rsidP="00353643">
      <w:pPr>
        <w:pStyle w:val="BodyText"/>
        <w:rPr>
          <w:rFonts w:cs="Arial"/>
          <w:b/>
          <w:bCs/>
        </w:rPr>
      </w:pPr>
      <w:r w:rsidRPr="00353643">
        <w:rPr>
          <w:rFonts w:cs="Arial"/>
          <w:b/>
          <w:bCs/>
        </w:rPr>
        <w:t xml:space="preserve">Note:  </w:t>
      </w:r>
      <w:r w:rsidRPr="00353643">
        <w:rPr>
          <w:rFonts w:cs="Arial"/>
          <w:bCs/>
        </w:rPr>
        <w:t>The FY 2012 President’s Budget uses the FY 2011 President’s Budget language as a base so all language is presented as new.</w:t>
      </w:r>
    </w:p>
    <w:p w:rsidR="0078675E" w:rsidRPr="00E43151" w:rsidRDefault="005523D4" w:rsidP="0078675E">
      <w:pPr>
        <w:pStyle w:val="BodyText"/>
        <w:rPr>
          <w:rFonts w:cs="Arial"/>
          <w:b/>
          <w:bCs/>
          <w:sz w:val="28"/>
          <w:szCs w:val="28"/>
        </w:rPr>
      </w:pPr>
      <w:r>
        <w:rPr>
          <w:rFonts w:cs="Arial"/>
          <w:b/>
          <w:bCs/>
        </w:rPr>
        <w:br w:type="page"/>
      </w:r>
      <w:r w:rsidR="0078675E">
        <w:rPr>
          <w:rFonts w:cs="Arial"/>
          <w:b/>
          <w:bCs/>
        </w:rPr>
        <w:lastRenderedPageBreak/>
        <w:t>IV</w:t>
      </w:r>
      <w:r w:rsidR="0078675E" w:rsidRPr="00E43151">
        <w:rPr>
          <w:rFonts w:cs="Arial"/>
          <w:b/>
          <w:bCs/>
          <w:sz w:val="28"/>
          <w:szCs w:val="28"/>
        </w:rPr>
        <w:t>. Decision Unit Justification</w:t>
      </w:r>
    </w:p>
    <w:p w:rsidR="0078675E" w:rsidRDefault="0078675E" w:rsidP="0078675E">
      <w:pPr>
        <w:pStyle w:val="BodyText"/>
        <w:rPr>
          <w:rFonts w:cs="Arial"/>
          <w:b/>
          <w:bCs/>
        </w:rPr>
      </w:pPr>
    </w:p>
    <w:p w:rsidR="0078675E" w:rsidRDefault="0078675E" w:rsidP="0078675E">
      <w:pPr>
        <w:pStyle w:val="BodyText"/>
        <w:rPr>
          <w:rFonts w:cs="Arial"/>
          <w:b/>
          <w:bCs/>
        </w:rPr>
      </w:pPr>
      <w:r>
        <w:rPr>
          <w:rFonts w:cs="Arial"/>
          <w:b/>
          <w:bCs/>
        </w:rPr>
        <w:t xml:space="preserve">A. </w:t>
      </w:r>
      <w:r>
        <w:rPr>
          <w:rFonts w:cs="Arial"/>
          <w:b/>
          <w:bCs/>
          <w:i/>
          <w:iCs/>
        </w:rPr>
        <w:t>Foreign Claims</w:t>
      </w:r>
      <w:r>
        <w:rPr>
          <w:rFonts w:cs="Arial"/>
          <w:b/>
          <w:bCs/>
          <w:i/>
          <w:iCs/>
        </w:rPr>
        <w:tab/>
      </w:r>
      <w:r>
        <w:rPr>
          <w:rFonts w:cs="Arial"/>
          <w:b/>
          <w:bCs/>
        </w:rPr>
        <w:tab/>
      </w:r>
      <w:r>
        <w:rPr>
          <w:rFonts w:cs="Arial"/>
          <w:b/>
          <w:bCs/>
        </w:rPr>
        <w:tab/>
      </w:r>
    </w:p>
    <w:p w:rsidR="0078675E" w:rsidRDefault="0078675E" w:rsidP="0078675E">
      <w:pPr>
        <w:pStyle w:val="Title"/>
        <w:rPr>
          <w:b w:val="0"/>
          <w:bCs/>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78675E" w:rsidTr="00BE1656">
        <w:tc>
          <w:tcPr>
            <w:tcW w:w="4968" w:type="dxa"/>
          </w:tcPr>
          <w:p w:rsidR="0078675E" w:rsidRDefault="0078675E" w:rsidP="00BE1656">
            <w:pPr>
              <w:pStyle w:val="Title"/>
              <w:ind w:left="0"/>
              <w:jc w:val="left"/>
              <w:rPr>
                <w:iCs/>
              </w:rPr>
            </w:pPr>
            <w:r>
              <w:rPr>
                <w:iCs/>
              </w:rPr>
              <w:t>Foreign Claims</w:t>
            </w:r>
          </w:p>
        </w:tc>
        <w:tc>
          <w:tcPr>
            <w:tcW w:w="1260" w:type="dxa"/>
          </w:tcPr>
          <w:p w:rsidR="0078675E" w:rsidRDefault="0078675E" w:rsidP="00BE1656">
            <w:pPr>
              <w:pStyle w:val="Title"/>
              <w:ind w:left="0"/>
              <w:rPr>
                <w:i w:val="0"/>
              </w:rPr>
            </w:pPr>
            <w:r>
              <w:rPr>
                <w:i w:val="0"/>
              </w:rPr>
              <w:t xml:space="preserve">Perm. </w:t>
            </w:r>
            <w:proofErr w:type="gramStart"/>
            <w:r>
              <w:rPr>
                <w:i w:val="0"/>
              </w:rPr>
              <w:t>Pos.</w:t>
            </w:r>
            <w:proofErr w:type="gramEnd"/>
          </w:p>
        </w:tc>
        <w:tc>
          <w:tcPr>
            <w:tcW w:w="1260" w:type="dxa"/>
          </w:tcPr>
          <w:p w:rsidR="0078675E" w:rsidRDefault="0078675E" w:rsidP="00BE1656">
            <w:pPr>
              <w:pStyle w:val="Title"/>
              <w:ind w:left="0"/>
              <w:rPr>
                <w:i w:val="0"/>
              </w:rPr>
            </w:pPr>
            <w:r>
              <w:rPr>
                <w:i w:val="0"/>
              </w:rPr>
              <w:t>FTE</w:t>
            </w:r>
          </w:p>
        </w:tc>
        <w:tc>
          <w:tcPr>
            <w:tcW w:w="2088" w:type="dxa"/>
          </w:tcPr>
          <w:p w:rsidR="0078675E" w:rsidRDefault="0078675E" w:rsidP="00BE1656">
            <w:pPr>
              <w:pStyle w:val="Title"/>
              <w:ind w:left="0"/>
              <w:rPr>
                <w:i w:val="0"/>
              </w:rPr>
            </w:pPr>
            <w:r>
              <w:rPr>
                <w:i w:val="0"/>
              </w:rPr>
              <w:t>Amount</w:t>
            </w:r>
          </w:p>
        </w:tc>
      </w:tr>
      <w:tr w:rsidR="0078675E" w:rsidTr="00BE1656">
        <w:tc>
          <w:tcPr>
            <w:tcW w:w="4968" w:type="dxa"/>
          </w:tcPr>
          <w:p w:rsidR="0078675E" w:rsidRDefault="0078675E" w:rsidP="00BE1656">
            <w:pPr>
              <w:pStyle w:val="Title"/>
              <w:ind w:left="0"/>
              <w:jc w:val="left"/>
              <w:rPr>
                <w:b w:val="0"/>
                <w:bCs/>
                <w:i w:val="0"/>
              </w:rPr>
            </w:pPr>
            <w:r>
              <w:rPr>
                <w:b w:val="0"/>
                <w:bCs/>
                <w:i w:val="0"/>
              </w:rPr>
              <w:t>2010 Enacted with Rescissions</w:t>
            </w:r>
          </w:p>
        </w:tc>
        <w:tc>
          <w:tcPr>
            <w:tcW w:w="1260" w:type="dxa"/>
            <w:vAlign w:val="center"/>
          </w:tcPr>
          <w:p w:rsidR="0078675E" w:rsidRDefault="0078675E" w:rsidP="00BE1656">
            <w:pPr>
              <w:pStyle w:val="Title"/>
              <w:ind w:left="0"/>
              <w:jc w:val="right"/>
              <w:rPr>
                <w:b w:val="0"/>
                <w:bCs/>
                <w:i w:val="0"/>
              </w:rPr>
            </w:pPr>
            <w:r>
              <w:rPr>
                <w:b w:val="0"/>
                <w:bCs/>
                <w:i w:val="0"/>
              </w:rPr>
              <w:t>11</w:t>
            </w:r>
          </w:p>
        </w:tc>
        <w:tc>
          <w:tcPr>
            <w:tcW w:w="1260" w:type="dxa"/>
            <w:vAlign w:val="center"/>
          </w:tcPr>
          <w:p w:rsidR="0078675E" w:rsidRDefault="0078675E" w:rsidP="00BE1656">
            <w:pPr>
              <w:pStyle w:val="Title"/>
              <w:ind w:left="0"/>
              <w:jc w:val="right"/>
              <w:rPr>
                <w:b w:val="0"/>
                <w:bCs/>
                <w:i w:val="0"/>
              </w:rPr>
            </w:pPr>
            <w:r>
              <w:rPr>
                <w:b w:val="0"/>
                <w:bCs/>
                <w:i w:val="0"/>
              </w:rPr>
              <w:t>11</w:t>
            </w:r>
          </w:p>
        </w:tc>
        <w:tc>
          <w:tcPr>
            <w:tcW w:w="2088" w:type="dxa"/>
            <w:vAlign w:val="center"/>
          </w:tcPr>
          <w:p w:rsidR="0078675E" w:rsidRDefault="0078675E" w:rsidP="00BE1656">
            <w:pPr>
              <w:pStyle w:val="Title"/>
              <w:ind w:left="0"/>
              <w:jc w:val="right"/>
              <w:rPr>
                <w:b w:val="0"/>
                <w:bCs/>
                <w:i w:val="0"/>
              </w:rPr>
            </w:pPr>
            <w:r>
              <w:rPr>
                <w:b w:val="0"/>
                <w:bCs/>
                <w:i w:val="0"/>
              </w:rPr>
              <w:t>$2,117</w:t>
            </w:r>
          </w:p>
        </w:tc>
      </w:tr>
      <w:tr w:rsidR="0078675E" w:rsidTr="00BE1656">
        <w:tc>
          <w:tcPr>
            <w:tcW w:w="4968" w:type="dxa"/>
          </w:tcPr>
          <w:p w:rsidR="0078675E" w:rsidRDefault="0078675E" w:rsidP="00BE1656">
            <w:pPr>
              <w:pStyle w:val="Title"/>
              <w:ind w:left="0"/>
              <w:jc w:val="left"/>
              <w:rPr>
                <w:b w:val="0"/>
                <w:bCs/>
                <w:i w:val="0"/>
              </w:rPr>
            </w:pPr>
            <w:bookmarkStart w:id="0" w:name="_Hlk131234810"/>
            <w:r>
              <w:rPr>
                <w:b w:val="0"/>
                <w:bCs/>
                <w:i w:val="0"/>
              </w:rPr>
              <w:t xml:space="preserve">   2010 Supplemental</w:t>
            </w:r>
          </w:p>
        </w:tc>
        <w:tc>
          <w:tcPr>
            <w:tcW w:w="1260" w:type="dxa"/>
            <w:vAlign w:val="center"/>
          </w:tcPr>
          <w:p w:rsidR="0078675E" w:rsidRDefault="0078675E" w:rsidP="00BE1656">
            <w:pPr>
              <w:pStyle w:val="Title"/>
              <w:ind w:left="0"/>
              <w:jc w:val="right"/>
              <w:rPr>
                <w:b w:val="0"/>
                <w:bCs/>
                <w:i w:val="0"/>
              </w:rPr>
            </w:pPr>
          </w:p>
        </w:tc>
        <w:tc>
          <w:tcPr>
            <w:tcW w:w="1260" w:type="dxa"/>
            <w:vAlign w:val="center"/>
          </w:tcPr>
          <w:p w:rsidR="0078675E" w:rsidRDefault="0078675E" w:rsidP="00BE1656">
            <w:pPr>
              <w:pStyle w:val="Title"/>
              <w:ind w:left="0"/>
              <w:jc w:val="right"/>
              <w:rPr>
                <w:b w:val="0"/>
                <w:bCs/>
                <w:i w:val="0"/>
              </w:rPr>
            </w:pPr>
          </w:p>
        </w:tc>
        <w:tc>
          <w:tcPr>
            <w:tcW w:w="2088" w:type="dxa"/>
            <w:vAlign w:val="center"/>
          </w:tcPr>
          <w:p w:rsidR="0078675E" w:rsidRDefault="0078675E" w:rsidP="00BE1656">
            <w:pPr>
              <w:pStyle w:val="Title"/>
              <w:ind w:left="0"/>
              <w:jc w:val="right"/>
              <w:rPr>
                <w:b w:val="0"/>
                <w:bCs/>
                <w:i w:val="0"/>
              </w:rPr>
            </w:pPr>
            <w:r>
              <w:rPr>
                <w:b w:val="0"/>
                <w:bCs/>
                <w:i w:val="0"/>
              </w:rPr>
              <w:t>---</w:t>
            </w:r>
          </w:p>
        </w:tc>
      </w:tr>
      <w:tr w:rsidR="0078675E" w:rsidTr="00BE1656">
        <w:tc>
          <w:tcPr>
            <w:tcW w:w="4968" w:type="dxa"/>
          </w:tcPr>
          <w:p w:rsidR="0078675E" w:rsidRDefault="0078675E" w:rsidP="00BE1656">
            <w:pPr>
              <w:pStyle w:val="Title"/>
              <w:ind w:left="0"/>
              <w:jc w:val="left"/>
              <w:rPr>
                <w:b w:val="0"/>
                <w:bCs/>
                <w:i w:val="0"/>
              </w:rPr>
            </w:pPr>
            <w:r>
              <w:rPr>
                <w:b w:val="0"/>
                <w:bCs/>
                <w:i w:val="0"/>
              </w:rPr>
              <w:t xml:space="preserve">2010 Enacted w/Rescissions and </w:t>
            </w:r>
            <w:proofErr w:type="spellStart"/>
            <w:r>
              <w:rPr>
                <w:b w:val="0"/>
                <w:bCs/>
                <w:i w:val="0"/>
              </w:rPr>
              <w:t>Supplementals</w:t>
            </w:r>
            <w:proofErr w:type="spellEnd"/>
          </w:p>
        </w:tc>
        <w:tc>
          <w:tcPr>
            <w:tcW w:w="1260" w:type="dxa"/>
            <w:vAlign w:val="center"/>
          </w:tcPr>
          <w:p w:rsidR="0078675E" w:rsidRDefault="0078675E" w:rsidP="00BE1656">
            <w:pPr>
              <w:pStyle w:val="Title"/>
              <w:ind w:left="0"/>
              <w:jc w:val="right"/>
              <w:rPr>
                <w:b w:val="0"/>
                <w:bCs/>
                <w:i w:val="0"/>
              </w:rPr>
            </w:pPr>
            <w:r>
              <w:rPr>
                <w:b w:val="0"/>
                <w:bCs/>
                <w:i w:val="0"/>
              </w:rPr>
              <w:t>11</w:t>
            </w:r>
          </w:p>
        </w:tc>
        <w:tc>
          <w:tcPr>
            <w:tcW w:w="1260" w:type="dxa"/>
            <w:vAlign w:val="center"/>
          </w:tcPr>
          <w:p w:rsidR="0078675E" w:rsidRDefault="0078675E" w:rsidP="00BE1656">
            <w:pPr>
              <w:pStyle w:val="Title"/>
              <w:ind w:left="0"/>
              <w:jc w:val="right"/>
              <w:rPr>
                <w:b w:val="0"/>
                <w:bCs/>
                <w:i w:val="0"/>
              </w:rPr>
            </w:pPr>
            <w:r>
              <w:rPr>
                <w:b w:val="0"/>
                <w:bCs/>
                <w:i w:val="0"/>
              </w:rPr>
              <w:t>11</w:t>
            </w:r>
          </w:p>
        </w:tc>
        <w:tc>
          <w:tcPr>
            <w:tcW w:w="2088" w:type="dxa"/>
            <w:vAlign w:val="center"/>
          </w:tcPr>
          <w:p w:rsidR="0078675E" w:rsidRDefault="0078675E" w:rsidP="00BE1656">
            <w:pPr>
              <w:pStyle w:val="Title"/>
              <w:ind w:left="0"/>
              <w:jc w:val="right"/>
              <w:rPr>
                <w:b w:val="0"/>
                <w:bCs/>
                <w:i w:val="0"/>
              </w:rPr>
            </w:pPr>
            <w:r>
              <w:rPr>
                <w:b w:val="0"/>
                <w:bCs/>
                <w:i w:val="0"/>
              </w:rPr>
              <w:t>$2,117</w:t>
            </w:r>
          </w:p>
        </w:tc>
      </w:tr>
      <w:bookmarkEnd w:id="0"/>
      <w:tr w:rsidR="0078675E" w:rsidTr="00BE1656">
        <w:tc>
          <w:tcPr>
            <w:tcW w:w="4968" w:type="dxa"/>
          </w:tcPr>
          <w:p w:rsidR="0078675E" w:rsidRDefault="0078675E" w:rsidP="00BE1656">
            <w:pPr>
              <w:pStyle w:val="Title"/>
              <w:ind w:left="0"/>
              <w:jc w:val="left"/>
              <w:rPr>
                <w:b w:val="0"/>
                <w:bCs/>
                <w:i w:val="0"/>
              </w:rPr>
            </w:pPr>
            <w:r>
              <w:rPr>
                <w:b w:val="0"/>
                <w:bCs/>
                <w:i w:val="0"/>
              </w:rPr>
              <w:t>2011 CR</w:t>
            </w:r>
          </w:p>
        </w:tc>
        <w:tc>
          <w:tcPr>
            <w:tcW w:w="1260" w:type="dxa"/>
            <w:vAlign w:val="center"/>
          </w:tcPr>
          <w:p w:rsidR="0078675E" w:rsidRDefault="0078675E" w:rsidP="00BE1656">
            <w:pPr>
              <w:pStyle w:val="Title"/>
              <w:ind w:left="0"/>
              <w:jc w:val="right"/>
              <w:rPr>
                <w:b w:val="0"/>
                <w:bCs/>
                <w:i w:val="0"/>
              </w:rPr>
            </w:pPr>
            <w:r>
              <w:rPr>
                <w:b w:val="0"/>
                <w:bCs/>
                <w:i w:val="0"/>
              </w:rPr>
              <w:t>11</w:t>
            </w:r>
          </w:p>
        </w:tc>
        <w:tc>
          <w:tcPr>
            <w:tcW w:w="1260" w:type="dxa"/>
            <w:vAlign w:val="center"/>
          </w:tcPr>
          <w:p w:rsidR="0078675E" w:rsidRDefault="0078675E" w:rsidP="00BE1656">
            <w:pPr>
              <w:pStyle w:val="Title"/>
              <w:ind w:left="0"/>
              <w:jc w:val="right"/>
              <w:rPr>
                <w:b w:val="0"/>
                <w:bCs/>
                <w:i w:val="0"/>
              </w:rPr>
            </w:pPr>
            <w:r>
              <w:rPr>
                <w:b w:val="0"/>
                <w:bCs/>
                <w:i w:val="0"/>
              </w:rPr>
              <w:t>11</w:t>
            </w:r>
          </w:p>
        </w:tc>
        <w:tc>
          <w:tcPr>
            <w:tcW w:w="2088" w:type="dxa"/>
            <w:vAlign w:val="center"/>
          </w:tcPr>
          <w:p w:rsidR="0078675E" w:rsidRDefault="0078675E" w:rsidP="00BE1656">
            <w:pPr>
              <w:pStyle w:val="Title"/>
              <w:ind w:left="0"/>
              <w:jc w:val="right"/>
              <w:rPr>
                <w:b w:val="0"/>
                <w:bCs/>
                <w:i w:val="0"/>
              </w:rPr>
            </w:pPr>
            <w:r>
              <w:rPr>
                <w:b w:val="0"/>
                <w:bCs/>
                <w:i w:val="0"/>
              </w:rPr>
              <w:t>$2,117</w:t>
            </w:r>
          </w:p>
        </w:tc>
      </w:tr>
      <w:tr w:rsidR="0078675E" w:rsidTr="00BE1656">
        <w:tc>
          <w:tcPr>
            <w:tcW w:w="4968" w:type="dxa"/>
          </w:tcPr>
          <w:p w:rsidR="0078675E" w:rsidRDefault="0078675E" w:rsidP="00BE1656">
            <w:pPr>
              <w:pStyle w:val="Title"/>
              <w:ind w:left="0"/>
              <w:jc w:val="left"/>
              <w:rPr>
                <w:b w:val="0"/>
                <w:bCs/>
                <w:i w:val="0"/>
              </w:rPr>
            </w:pPr>
            <w:r>
              <w:rPr>
                <w:b w:val="0"/>
                <w:bCs/>
                <w:i w:val="0"/>
              </w:rPr>
              <w:t>Adjustments to Base and Technical Adjustments</w:t>
            </w:r>
          </w:p>
        </w:tc>
        <w:tc>
          <w:tcPr>
            <w:tcW w:w="1260" w:type="dxa"/>
            <w:vAlign w:val="center"/>
          </w:tcPr>
          <w:p w:rsidR="0078675E" w:rsidRDefault="0078675E" w:rsidP="00BE1656">
            <w:pPr>
              <w:pStyle w:val="Title"/>
              <w:ind w:left="0"/>
              <w:jc w:val="right"/>
              <w:rPr>
                <w:b w:val="0"/>
                <w:bCs/>
                <w:i w:val="0"/>
              </w:rPr>
            </w:pPr>
          </w:p>
        </w:tc>
        <w:tc>
          <w:tcPr>
            <w:tcW w:w="1260" w:type="dxa"/>
            <w:vAlign w:val="center"/>
          </w:tcPr>
          <w:p w:rsidR="0078675E" w:rsidRDefault="0078675E" w:rsidP="00BE1656">
            <w:pPr>
              <w:pStyle w:val="Title"/>
              <w:ind w:left="0"/>
              <w:jc w:val="right"/>
              <w:rPr>
                <w:b w:val="0"/>
                <w:bCs/>
                <w:i w:val="0"/>
              </w:rPr>
            </w:pPr>
          </w:p>
        </w:tc>
        <w:tc>
          <w:tcPr>
            <w:tcW w:w="2088" w:type="dxa"/>
            <w:vAlign w:val="center"/>
          </w:tcPr>
          <w:p w:rsidR="0078675E" w:rsidRDefault="00BB6EEC" w:rsidP="00BE1656">
            <w:pPr>
              <w:pStyle w:val="Title"/>
              <w:ind w:left="0"/>
              <w:jc w:val="right"/>
              <w:rPr>
                <w:b w:val="0"/>
                <w:bCs/>
                <w:i w:val="0"/>
              </w:rPr>
            </w:pPr>
            <w:r>
              <w:rPr>
                <w:b w:val="0"/>
                <w:bCs/>
                <w:i w:val="0"/>
              </w:rPr>
              <w:t>---</w:t>
            </w:r>
          </w:p>
        </w:tc>
      </w:tr>
      <w:tr w:rsidR="0078675E" w:rsidTr="00BE1656">
        <w:tc>
          <w:tcPr>
            <w:tcW w:w="4968" w:type="dxa"/>
          </w:tcPr>
          <w:p w:rsidR="0078675E" w:rsidRDefault="0078675E" w:rsidP="00BE1656">
            <w:pPr>
              <w:pStyle w:val="Title"/>
              <w:ind w:left="0"/>
              <w:jc w:val="left"/>
              <w:rPr>
                <w:b w:val="0"/>
                <w:bCs/>
                <w:i w:val="0"/>
              </w:rPr>
            </w:pPr>
            <w:r>
              <w:rPr>
                <w:b w:val="0"/>
                <w:bCs/>
                <w:i w:val="0"/>
              </w:rPr>
              <w:t>2012 Current Services</w:t>
            </w:r>
          </w:p>
        </w:tc>
        <w:tc>
          <w:tcPr>
            <w:tcW w:w="1260" w:type="dxa"/>
            <w:vAlign w:val="center"/>
          </w:tcPr>
          <w:p w:rsidR="0078675E" w:rsidRDefault="0078675E" w:rsidP="00BE1656">
            <w:pPr>
              <w:pStyle w:val="Title"/>
              <w:ind w:left="0"/>
              <w:jc w:val="right"/>
              <w:rPr>
                <w:b w:val="0"/>
                <w:bCs/>
                <w:i w:val="0"/>
              </w:rPr>
            </w:pPr>
          </w:p>
        </w:tc>
        <w:tc>
          <w:tcPr>
            <w:tcW w:w="1260" w:type="dxa"/>
            <w:vAlign w:val="center"/>
          </w:tcPr>
          <w:p w:rsidR="0078675E" w:rsidRDefault="0078675E" w:rsidP="00BE1656">
            <w:pPr>
              <w:pStyle w:val="Title"/>
              <w:ind w:left="0"/>
              <w:jc w:val="right"/>
              <w:rPr>
                <w:b w:val="0"/>
                <w:bCs/>
                <w:i w:val="0"/>
              </w:rPr>
            </w:pPr>
          </w:p>
        </w:tc>
        <w:tc>
          <w:tcPr>
            <w:tcW w:w="2088" w:type="dxa"/>
            <w:vAlign w:val="center"/>
          </w:tcPr>
          <w:p w:rsidR="0078675E" w:rsidRDefault="009B5F0A" w:rsidP="00BE1656">
            <w:pPr>
              <w:pStyle w:val="Title"/>
              <w:ind w:left="0"/>
              <w:jc w:val="right"/>
              <w:rPr>
                <w:b w:val="0"/>
                <w:bCs/>
                <w:i w:val="0"/>
              </w:rPr>
            </w:pPr>
            <w:r>
              <w:rPr>
                <w:b w:val="0"/>
                <w:bCs/>
                <w:i w:val="0"/>
              </w:rPr>
              <w:t>$2,117</w:t>
            </w:r>
          </w:p>
        </w:tc>
      </w:tr>
      <w:tr w:rsidR="0078675E" w:rsidTr="00BE1656">
        <w:tc>
          <w:tcPr>
            <w:tcW w:w="4968" w:type="dxa"/>
            <w:tcBorders>
              <w:bottom w:val="single" w:sz="4" w:space="0" w:color="auto"/>
            </w:tcBorders>
          </w:tcPr>
          <w:p w:rsidR="0078675E" w:rsidRDefault="0078675E" w:rsidP="00BE1656">
            <w:pPr>
              <w:pStyle w:val="Title"/>
              <w:ind w:left="0"/>
              <w:jc w:val="left"/>
              <w:rPr>
                <w:b w:val="0"/>
                <w:bCs/>
                <w:i w:val="0"/>
              </w:rPr>
            </w:pPr>
            <w:r>
              <w:rPr>
                <w:b w:val="0"/>
                <w:bCs/>
                <w:i w:val="0"/>
              </w:rPr>
              <w:t>2012 Program Increases</w:t>
            </w:r>
          </w:p>
        </w:tc>
        <w:tc>
          <w:tcPr>
            <w:tcW w:w="1260" w:type="dxa"/>
            <w:tcBorders>
              <w:bottom w:val="single" w:sz="4" w:space="0" w:color="auto"/>
            </w:tcBorders>
            <w:vAlign w:val="center"/>
          </w:tcPr>
          <w:p w:rsidR="0078675E" w:rsidRDefault="0078675E" w:rsidP="00BE1656">
            <w:pPr>
              <w:pStyle w:val="Title"/>
              <w:ind w:left="0"/>
              <w:jc w:val="right"/>
              <w:rPr>
                <w:b w:val="0"/>
                <w:bCs/>
                <w:i w:val="0"/>
              </w:rPr>
            </w:pPr>
          </w:p>
        </w:tc>
        <w:tc>
          <w:tcPr>
            <w:tcW w:w="1260" w:type="dxa"/>
            <w:tcBorders>
              <w:bottom w:val="single" w:sz="4" w:space="0" w:color="auto"/>
            </w:tcBorders>
            <w:vAlign w:val="center"/>
          </w:tcPr>
          <w:p w:rsidR="0078675E" w:rsidRDefault="0078675E" w:rsidP="00BE1656">
            <w:pPr>
              <w:pStyle w:val="Title"/>
              <w:ind w:left="0"/>
              <w:jc w:val="right"/>
              <w:rPr>
                <w:b w:val="0"/>
                <w:bCs/>
                <w:i w:val="0"/>
              </w:rPr>
            </w:pPr>
          </w:p>
        </w:tc>
        <w:tc>
          <w:tcPr>
            <w:tcW w:w="2088" w:type="dxa"/>
            <w:tcBorders>
              <w:bottom w:val="single" w:sz="4" w:space="0" w:color="auto"/>
            </w:tcBorders>
            <w:vAlign w:val="center"/>
          </w:tcPr>
          <w:p w:rsidR="0078675E" w:rsidRDefault="0078675E" w:rsidP="00BE1656">
            <w:pPr>
              <w:pStyle w:val="Title"/>
              <w:ind w:left="0"/>
              <w:jc w:val="right"/>
              <w:rPr>
                <w:b w:val="0"/>
                <w:bCs/>
                <w:i w:val="0"/>
              </w:rPr>
            </w:pPr>
            <w:r>
              <w:rPr>
                <w:b w:val="0"/>
                <w:bCs/>
                <w:i w:val="0"/>
              </w:rPr>
              <w:t>---</w:t>
            </w:r>
          </w:p>
        </w:tc>
      </w:tr>
      <w:tr w:rsidR="0078675E" w:rsidTr="00BE1656">
        <w:tc>
          <w:tcPr>
            <w:tcW w:w="4968" w:type="dxa"/>
            <w:tcBorders>
              <w:bottom w:val="single" w:sz="4" w:space="0" w:color="auto"/>
            </w:tcBorders>
          </w:tcPr>
          <w:p w:rsidR="0078675E" w:rsidRDefault="0078675E" w:rsidP="00BE1656">
            <w:pPr>
              <w:pStyle w:val="Title"/>
              <w:ind w:left="0"/>
              <w:jc w:val="left"/>
              <w:rPr>
                <w:b w:val="0"/>
                <w:bCs/>
                <w:i w:val="0"/>
              </w:rPr>
            </w:pPr>
            <w:r>
              <w:rPr>
                <w:b w:val="0"/>
                <w:bCs/>
                <w:i w:val="0"/>
              </w:rPr>
              <w:t>2012 Program Offsets</w:t>
            </w:r>
          </w:p>
        </w:tc>
        <w:tc>
          <w:tcPr>
            <w:tcW w:w="1260" w:type="dxa"/>
            <w:tcBorders>
              <w:bottom w:val="single" w:sz="4" w:space="0" w:color="auto"/>
            </w:tcBorders>
            <w:vAlign w:val="center"/>
          </w:tcPr>
          <w:p w:rsidR="0078675E" w:rsidRDefault="0078675E" w:rsidP="00BE1656">
            <w:pPr>
              <w:pStyle w:val="Title"/>
              <w:ind w:left="0"/>
              <w:jc w:val="right"/>
              <w:rPr>
                <w:b w:val="0"/>
                <w:bCs/>
                <w:i w:val="0"/>
              </w:rPr>
            </w:pPr>
          </w:p>
        </w:tc>
        <w:tc>
          <w:tcPr>
            <w:tcW w:w="1260" w:type="dxa"/>
            <w:tcBorders>
              <w:bottom w:val="single" w:sz="4" w:space="0" w:color="auto"/>
            </w:tcBorders>
            <w:vAlign w:val="center"/>
          </w:tcPr>
          <w:p w:rsidR="0078675E" w:rsidRDefault="0078675E" w:rsidP="00BE1656">
            <w:pPr>
              <w:pStyle w:val="Title"/>
              <w:ind w:left="0"/>
              <w:jc w:val="right"/>
              <w:rPr>
                <w:b w:val="0"/>
                <w:bCs/>
                <w:i w:val="0"/>
              </w:rPr>
            </w:pPr>
          </w:p>
        </w:tc>
        <w:tc>
          <w:tcPr>
            <w:tcW w:w="2088" w:type="dxa"/>
            <w:tcBorders>
              <w:bottom w:val="single" w:sz="4" w:space="0" w:color="auto"/>
            </w:tcBorders>
            <w:vAlign w:val="center"/>
          </w:tcPr>
          <w:p w:rsidR="0078675E" w:rsidRDefault="0078675E" w:rsidP="00BE1656">
            <w:pPr>
              <w:pStyle w:val="Title"/>
              <w:ind w:left="0"/>
              <w:jc w:val="right"/>
              <w:rPr>
                <w:b w:val="0"/>
                <w:bCs/>
                <w:i w:val="0"/>
              </w:rPr>
            </w:pPr>
            <w:r>
              <w:rPr>
                <w:b w:val="0"/>
                <w:bCs/>
                <w:i w:val="0"/>
              </w:rPr>
              <w:t>---</w:t>
            </w:r>
          </w:p>
        </w:tc>
      </w:tr>
      <w:tr w:rsidR="0078675E" w:rsidTr="00BE1656">
        <w:tc>
          <w:tcPr>
            <w:tcW w:w="4968" w:type="dxa"/>
            <w:tcBorders>
              <w:bottom w:val="single" w:sz="4" w:space="0" w:color="auto"/>
            </w:tcBorders>
          </w:tcPr>
          <w:p w:rsidR="0078675E" w:rsidRDefault="0078675E" w:rsidP="00BE1656">
            <w:pPr>
              <w:pStyle w:val="Title"/>
              <w:ind w:left="0"/>
              <w:jc w:val="left"/>
              <w:rPr>
                <w:b w:val="0"/>
                <w:bCs/>
                <w:i w:val="0"/>
              </w:rPr>
            </w:pPr>
            <w:r>
              <w:rPr>
                <w:b w:val="0"/>
                <w:bCs/>
                <w:i w:val="0"/>
              </w:rPr>
              <w:t>2012 Request</w:t>
            </w:r>
          </w:p>
        </w:tc>
        <w:tc>
          <w:tcPr>
            <w:tcW w:w="1260" w:type="dxa"/>
            <w:tcBorders>
              <w:bottom w:val="single" w:sz="4" w:space="0" w:color="auto"/>
            </w:tcBorders>
            <w:vAlign w:val="center"/>
          </w:tcPr>
          <w:p w:rsidR="0078675E" w:rsidRDefault="0078675E" w:rsidP="00BE1656">
            <w:pPr>
              <w:pStyle w:val="Title"/>
              <w:ind w:left="0"/>
              <w:jc w:val="right"/>
              <w:rPr>
                <w:b w:val="0"/>
                <w:bCs/>
                <w:i w:val="0"/>
              </w:rPr>
            </w:pPr>
          </w:p>
        </w:tc>
        <w:tc>
          <w:tcPr>
            <w:tcW w:w="1260" w:type="dxa"/>
            <w:tcBorders>
              <w:bottom w:val="single" w:sz="4" w:space="0" w:color="auto"/>
            </w:tcBorders>
            <w:vAlign w:val="center"/>
          </w:tcPr>
          <w:p w:rsidR="0078675E" w:rsidRDefault="0078675E" w:rsidP="00BE1656">
            <w:pPr>
              <w:pStyle w:val="Title"/>
              <w:ind w:left="0"/>
              <w:jc w:val="right"/>
              <w:rPr>
                <w:b w:val="0"/>
                <w:bCs/>
                <w:i w:val="0"/>
              </w:rPr>
            </w:pPr>
          </w:p>
        </w:tc>
        <w:tc>
          <w:tcPr>
            <w:tcW w:w="2088" w:type="dxa"/>
            <w:tcBorders>
              <w:bottom w:val="single" w:sz="4" w:space="0" w:color="auto"/>
            </w:tcBorders>
            <w:vAlign w:val="center"/>
          </w:tcPr>
          <w:p w:rsidR="0078675E" w:rsidRDefault="0000600F" w:rsidP="00BE1656">
            <w:pPr>
              <w:pStyle w:val="Title"/>
              <w:ind w:left="0"/>
              <w:jc w:val="right"/>
              <w:rPr>
                <w:b w:val="0"/>
                <w:bCs/>
                <w:i w:val="0"/>
              </w:rPr>
            </w:pPr>
            <w:r>
              <w:rPr>
                <w:b w:val="0"/>
                <w:bCs/>
                <w:i w:val="0"/>
              </w:rPr>
              <w:t>$2,124</w:t>
            </w:r>
          </w:p>
        </w:tc>
      </w:tr>
      <w:tr w:rsidR="0078675E" w:rsidTr="00BE1656">
        <w:tc>
          <w:tcPr>
            <w:tcW w:w="4968" w:type="dxa"/>
            <w:shd w:val="clear" w:color="auto" w:fill="E6E6E6"/>
          </w:tcPr>
          <w:p w:rsidR="0078675E" w:rsidRDefault="0078675E" w:rsidP="00BE1656">
            <w:pPr>
              <w:pStyle w:val="Title"/>
              <w:ind w:left="0"/>
              <w:jc w:val="left"/>
              <w:rPr>
                <w:b w:val="0"/>
                <w:bCs/>
                <w:i w:val="0"/>
              </w:rPr>
            </w:pPr>
            <w:r>
              <w:rPr>
                <w:i w:val="0"/>
              </w:rPr>
              <w:t>Total Change 2010-2012</w:t>
            </w:r>
          </w:p>
        </w:tc>
        <w:tc>
          <w:tcPr>
            <w:tcW w:w="1260" w:type="dxa"/>
            <w:shd w:val="clear" w:color="auto" w:fill="E6E6E6"/>
            <w:vAlign w:val="center"/>
          </w:tcPr>
          <w:p w:rsidR="0078675E" w:rsidRDefault="0078675E" w:rsidP="00BE1656">
            <w:pPr>
              <w:pStyle w:val="Title"/>
              <w:ind w:left="0"/>
              <w:jc w:val="right"/>
              <w:rPr>
                <w:b w:val="0"/>
                <w:bCs/>
                <w:i w:val="0"/>
              </w:rPr>
            </w:pPr>
          </w:p>
        </w:tc>
        <w:tc>
          <w:tcPr>
            <w:tcW w:w="1260" w:type="dxa"/>
            <w:shd w:val="clear" w:color="auto" w:fill="E6E6E6"/>
            <w:vAlign w:val="center"/>
          </w:tcPr>
          <w:p w:rsidR="0078675E" w:rsidRDefault="0078675E" w:rsidP="00BE1656">
            <w:pPr>
              <w:pStyle w:val="Title"/>
              <w:ind w:left="0"/>
              <w:jc w:val="right"/>
              <w:rPr>
                <w:b w:val="0"/>
                <w:bCs/>
                <w:i w:val="0"/>
              </w:rPr>
            </w:pPr>
          </w:p>
        </w:tc>
        <w:tc>
          <w:tcPr>
            <w:tcW w:w="2088" w:type="dxa"/>
            <w:shd w:val="clear" w:color="auto" w:fill="E6E6E6"/>
            <w:vAlign w:val="center"/>
          </w:tcPr>
          <w:p w:rsidR="0078675E" w:rsidRDefault="00FB5B0A" w:rsidP="00BE1656">
            <w:pPr>
              <w:pStyle w:val="Title"/>
              <w:ind w:left="0"/>
              <w:jc w:val="right"/>
              <w:rPr>
                <w:b w:val="0"/>
                <w:bCs/>
                <w:i w:val="0"/>
              </w:rPr>
            </w:pPr>
            <w:r>
              <w:rPr>
                <w:b w:val="0"/>
                <w:bCs/>
                <w:i w:val="0"/>
              </w:rPr>
              <w:t>$7</w:t>
            </w:r>
          </w:p>
        </w:tc>
      </w:tr>
    </w:tbl>
    <w:p w:rsidR="0078675E" w:rsidRDefault="0078675E" w:rsidP="0078675E">
      <w:pPr>
        <w:pStyle w:val="BodyText"/>
      </w:pPr>
    </w:p>
    <w:p w:rsidR="005523D4" w:rsidRPr="00165277" w:rsidRDefault="005523D4" w:rsidP="0078675E">
      <w:pPr>
        <w:pStyle w:val="BodyText"/>
        <w:rPr>
          <w:u w:val="single"/>
        </w:rPr>
      </w:pPr>
      <w:r>
        <w:t>1.  Program Description</w:t>
      </w:r>
    </w:p>
    <w:p w:rsidR="00CF4C70" w:rsidRDefault="00CF4C70">
      <w:pPr>
        <w:pStyle w:val="xl19"/>
        <w:spacing w:before="0" w:after="0"/>
        <w:rPr>
          <w:rFonts w:eastAsia="Times New Roman" w:cs="Arial"/>
          <w:i/>
          <w:iCs/>
          <w:szCs w:val="24"/>
        </w:rPr>
      </w:pPr>
    </w:p>
    <w:p w:rsidR="00CF4C70" w:rsidRDefault="00CF4C70" w:rsidP="00CF4C70">
      <w:pPr>
        <w:rPr>
          <w:rFonts w:cs="Arial"/>
          <w:color w:val="000000"/>
        </w:rPr>
      </w:pPr>
      <w:r>
        <w:rPr>
          <w:color w:val="000000"/>
          <w:lang w:val="en-CA"/>
        </w:rPr>
        <w:t xml:space="preserve">The Commission has a single Decision Unit, and its mission is </w:t>
      </w:r>
      <w:r w:rsidR="004709DC">
        <w:rPr>
          <w:color w:val="000000"/>
          <w:lang w:val="en-CA"/>
        </w:rPr>
        <w:fldChar w:fldCharType="begin"/>
      </w:r>
      <w:r>
        <w:rPr>
          <w:color w:val="000000"/>
          <w:lang w:val="en-CA"/>
        </w:rPr>
        <w:instrText xml:space="preserve"> SEQ CHAPTER \h \r 1</w:instrText>
      </w:r>
      <w:r w:rsidR="004709DC">
        <w:rPr>
          <w:color w:val="000000"/>
          <w:lang w:val="en-CA"/>
        </w:rPr>
        <w:fldChar w:fldCharType="end"/>
      </w:r>
      <w:r>
        <w:rPr>
          <w:color w:val="000000"/>
          <w:lang w:val="en-CA"/>
        </w:rPr>
        <w:t>t</w:t>
      </w:r>
      <w:r>
        <w:rPr>
          <w:color w:val="000000"/>
        </w:rPr>
        <w:t xml:space="preserve">o protect the property rights of </w:t>
      </w:r>
      <w:smartTag w:uri="urn:schemas-microsoft-com:office:smarttags" w:element="country-region">
        <w:r>
          <w:rPr>
            <w:color w:val="000000"/>
          </w:rPr>
          <w:t>U.S.</w:t>
        </w:r>
      </w:smartTag>
      <w:r>
        <w:rPr>
          <w:color w:val="000000"/>
        </w:rPr>
        <w:t xml:space="preserve"> citizens abroad and</w:t>
      </w:r>
      <w:r w:rsidR="00072DEB">
        <w:rPr>
          <w:color w:val="000000"/>
        </w:rPr>
        <w:t xml:space="preserve"> to</w:t>
      </w:r>
      <w:r>
        <w:rPr>
          <w:color w:val="000000"/>
        </w:rPr>
        <w:t xml:space="preserve"> promote the international rule of law through adjudication of claims</w:t>
      </w:r>
      <w:r w:rsidR="00A967BA">
        <w:rPr>
          <w:color w:val="000000"/>
        </w:rPr>
        <w:t xml:space="preserve"> brought</w:t>
      </w:r>
      <w:r>
        <w:rPr>
          <w:color w:val="000000"/>
        </w:rPr>
        <w:t xml:space="preserve"> by </w:t>
      </w:r>
      <w:smartTag w:uri="urn:schemas-microsoft-com:office:smarttags" w:element="country-region">
        <w:smartTag w:uri="urn:schemas-microsoft-com:office:smarttags" w:element="place">
          <w:r>
            <w:rPr>
              <w:color w:val="000000"/>
            </w:rPr>
            <w:t>United States</w:t>
          </w:r>
        </w:smartTag>
      </w:smartTag>
      <w:r>
        <w:rPr>
          <w:color w:val="000000"/>
        </w:rPr>
        <w:t xml:space="preserve"> </w:t>
      </w:r>
      <w:r w:rsidR="00663287">
        <w:rPr>
          <w:color w:val="000000"/>
        </w:rPr>
        <w:t>citizens</w:t>
      </w:r>
      <w:r>
        <w:rPr>
          <w:color w:val="000000"/>
        </w:rPr>
        <w:t xml:space="preserve"> against foreign governments.</w:t>
      </w:r>
    </w:p>
    <w:p w:rsidR="00CF4C70" w:rsidRDefault="00CF4C70" w:rsidP="00CF4C70">
      <w:pPr>
        <w:pStyle w:val="xl19"/>
        <w:spacing w:before="0" w:after="0"/>
        <w:rPr>
          <w:rFonts w:eastAsia="Times New Roman" w:cs="Arial"/>
          <w:i/>
          <w:iCs/>
          <w:color w:val="000000"/>
          <w:szCs w:val="24"/>
        </w:rPr>
      </w:pPr>
    </w:p>
    <w:p w:rsidR="00D81F9A" w:rsidRDefault="00CF4C70" w:rsidP="00CF4C70">
      <w:pPr>
        <w:pStyle w:val="xl19"/>
        <w:spacing w:before="0" w:after="0"/>
        <w:rPr>
          <w:rFonts w:eastAsia="Times New Roman" w:cs="Arial"/>
          <w:color w:val="000000"/>
          <w:szCs w:val="24"/>
        </w:rPr>
      </w:pPr>
      <w:r>
        <w:rPr>
          <w:rFonts w:eastAsia="Times New Roman" w:cs="Arial"/>
          <w:color w:val="000000"/>
          <w:szCs w:val="24"/>
        </w:rPr>
        <w:t>The Commission</w:t>
      </w:r>
      <w:r w:rsidR="000D660D">
        <w:rPr>
          <w:rFonts w:eastAsia="Times New Roman" w:cs="Arial"/>
          <w:color w:val="000000"/>
          <w:szCs w:val="24"/>
        </w:rPr>
        <w:t xml:space="preserve"> currently</w:t>
      </w:r>
      <w:r>
        <w:rPr>
          <w:rFonts w:eastAsia="Times New Roman" w:cs="Arial"/>
          <w:color w:val="000000"/>
          <w:szCs w:val="24"/>
        </w:rPr>
        <w:t xml:space="preserve"> pursues the following organizational goals:</w:t>
      </w:r>
    </w:p>
    <w:p w:rsidR="00D81F9A" w:rsidRDefault="00D81F9A" w:rsidP="00CF4C70">
      <w:pPr>
        <w:pStyle w:val="xl19"/>
        <w:spacing w:before="0" w:after="0"/>
        <w:rPr>
          <w:rFonts w:eastAsia="Times New Roman" w:cs="Arial"/>
          <w:color w:val="000000"/>
          <w:szCs w:val="24"/>
        </w:rPr>
      </w:pPr>
    </w:p>
    <w:p w:rsidR="00C43583" w:rsidRDefault="00C43583" w:rsidP="00D81F9A">
      <w:pPr>
        <w:pStyle w:val="xl19"/>
        <w:numPr>
          <w:ilvl w:val="0"/>
          <w:numId w:val="8"/>
        </w:numPr>
        <w:spacing w:before="0" w:after="0"/>
        <w:rPr>
          <w:rFonts w:eastAsia="Times New Roman" w:cs="Arial"/>
          <w:color w:val="000000"/>
          <w:szCs w:val="24"/>
        </w:rPr>
      </w:pPr>
      <w:r>
        <w:rPr>
          <w:rFonts w:eastAsia="Times New Roman" w:cs="Arial"/>
          <w:color w:val="000000"/>
          <w:szCs w:val="24"/>
        </w:rPr>
        <w:t xml:space="preserve">To adjudicate claims </w:t>
      </w:r>
      <w:r w:rsidR="00072DEB">
        <w:rPr>
          <w:rFonts w:eastAsia="Times New Roman" w:cs="Arial"/>
          <w:color w:val="000000"/>
          <w:szCs w:val="24"/>
        </w:rPr>
        <w:t>and award compensation for</w:t>
      </w:r>
      <w:r>
        <w:rPr>
          <w:rFonts w:eastAsia="Times New Roman" w:cs="Arial"/>
          <w:color w:val="000000"/>
          <w:szCs w:val="24"/>
        </w:rPr>
        <w:t xml:space="preserve"> terrorism-related claims against </w:t>
      </w:r>
      <w:proofErr w:type="gramStart"/>
      <w:r>
        <w:rPr>
          <w:rFonts w:eastAsia="Times New Roman" w:cs="Arial"/>
          <w:color w:val="000000"/>
          <w:szCs w:val="24"/>
        </w:rPr>
        <w:t>Libya  pursuant</w:t>
      </w:r>
      <w:proofErr w:type="gramEnd"/>
      <w:r>
        <w:rPr>
          <w:rFonts w:eastAsia="Times New Roman" w:cs="Arial"/>
          <w:color w:val="000000"/>
          <w:szCs w:val="24"/>
        </w:rPr>
        <w:t xml:space="preserve"> to the </w:t>
      </w:r>
      <w:smartTag w:uri="urn:schemas-microsoft-com:office:smarttags" w:element="country-region">
        <w:r>
          <w:rPr>
            <w:rFonts w:eastAsia="Times New Roman" w:cs="Arial"/>
            <w:color w:val="000000"/>
            <w:szCs w:val="24"/>
          </w:rPr>
          <w:t>U.S.</w:t>
        </w:r>
      </w:smartTag>
      <w:r>
        <w:rPr>
          <w:rFonts w:eastAsia="Times New Roman" w:cs="Arial"/>
          <w:color w:val="000000"/>
          <w:szCs w:val="24"/>
        </w:rPr>
        <w:t>-</w:t>
      </w:r>
      <w:smartTag w:uri="urn:schemas-microsoft-com:office:smarttags" w:element="place">
        <w:smartTag w:uri="urn:schemas-microsoft-com:office:smarttags" w:element="country-region">
          <w:r>
            <w:rPr>
              <w:rFonts w:eastAsia="Times New Roman" w:cs="Arial"/>
              <w:color w:val="000000"/>
              <w:szCs w:val="24"/>
            </w:rPr>
            <w:t>Libya</w:t>
          </w:r>
        </w:smartTag>
      </w:smartTag>
      <w:r>
        <w:rPr>
          <w:rFonts w:eastAsia="Times New Roman" w:cs="Arial"/>
          <w:color w:val="000000"/>
          <w:szCs w:val="24"/>
        </w:rPr>
        <w:t xml:space="preserve"> Claims</w:t>
      </w:r>
      <w:r w:rsidR="000D660D">
        <w:rPr>
          <w:rFonts w:eastAsia="Times New Roman" w:cs="Arial"/>
          <w:color w:val="000000"/>
          <w:szCs w:val="24"/>
        </w:rPr>
        <w:t xml:space="preserve"> Settlement Agreement and</w:t>
      </w:r>
      <w:r>
        <w:rPr>
          <w:rFonts w:eastAsia="Times New Roman" w:cs="Arial"/>
          <w:color w:val="000000"/>
          <w:szCs w:val="24"/>
        </w:rPr>
        <w:t xml:space="preserve"> the Libyan Claims Resolution Act. </w:t>
      </w:r>
    </w:p>
    <w:p w:rsidR="00725CBC" w:rsidRDefault="00725CBC" w:rsidP="00725CBC">
      <w:pPr>
        <w:numPr>
          <w:ilvl w:val="0"/>
          <w:numId w:val="7"/>
        </w:numPr>
        <w:rPr>
          <w:color w:val="000000"/>
        </w:rPr>
      </w:pPr>
      <w:r>
        <w:rPr>
          <w:color w:val="000000"/>
        </w:rPr>
        <w:t>To adjudicate clai</w:t>
      </w:r>
      <w:r w:rsidR="000D660D">
        <w:rPr>
          <w:color w:val="000000"/>
        </w:rPr>
        <w:t>ms and award compensation to</w:t>
      </w:r>
      <w:r>
        <w:rPr>
          <w:color w:val="000000"/>
        </w:rPr>
        <w:t xml:space="preserve"> previously uncompensated </w:t>
      </w:r>
      <w:smartTag w:uri="urn:schemas-microsoft-com:office:smarttags" w:element="country-region">
        <w:r>
          <w:rPr>
            <w:color w:val="000000"/>
          </w:rPr>
          <w:t>U.S.</w:t>
        </w:r>
      </w:smartTag>
      <w:r>
        <w:rPr>
          <w:color w:val="000000"/>
        </w:rPr>
        <w:t xml:space="preserve"> claimants for property losses in </w:t>
      </w:r>
      <w:smartTag w:uri="urn:schemas-microsoft-com:office:smarttags" w:element="country-region">
        <w:smartTag w:uri="urn:schemas-microsoft-com:office:smarttags" w:element="place">
          <w:r>
            <w:rPr>
              <w:color w:val="000000"/>
            </w:rPr>
            <w:t>Albania</w:t>
          </w:r>
        </w:smartTag>
      </w:smartTag>
      <w:r w:rsidR="00D54D72">
        <w:rPr>
          <w:color w:val="000000"/>
        </w:rPr>
        <w:t xml:space="preserve"> and</w:t>
      </w:r>
      <w:r>
        <w:rPr>
          <w:color w:val="000000"/>
        </w:rPr>
        <w:t xml:space="preserve"> to conduct outreach to inform American citizens who were</w:t>
      </w:r>
      <w:r w:rsidR="00072DEB">
        <w:rPr>
          <w:color w:val="000000"/>
        </w:rPr>
        <w:t xml:space="preserve"> previously</w:t>
      </w:r>
      <w:r>
        <w:rPr>
          <w:color w:val="000000"/>
        </w:rPr>
        <w:t xml:space="preserve"> unaware of i</w:t>
      </w:r>
      <w:r w:rsidR="003C384A">
        <w:rPr>
          <w:color w:val="000000"/>
        </w:rPr>
        <w:t>ts Albanian claims program.</w:t>
      </w:r>
    </w:p>
    <w:p w:rsidR="00CF4C70" w:rsidRDefault="004709DC" w:rsidP="00CF4C70">
      <w:pPr>
        <w:numPr>
          <w:ilvl w:val="0"/>
          <w:numId w:val="7"/>
        </w:numPr>
        <w:rPr>
          <w:color w:val="000000"/>
        </w:rPr>
      </w:pPr>
      <w:r>
        <w:rPr>
          <w:color w:val="000000"/>
          <w:lang w:val="en-CA"/>
        </w:rPr>
        <w:fldChar w:fldCharType="begin"/>
      </w:r>
      <w:r w:rsidR="00CF4C70">
        <w:rPr>
          <w:color w:val="000000"/>
          <w:lang w:val="en-CA"/>
        </w:rPr>
        <w:instrText xml:space="preserve"> SEQ CHAPTER \h \r 1</w:instrText>
      </w:r>
      <w:r>
        <w:rPr>
          <w:color w:val="000000"/>
          <w:lang w:val="en-CA"/>
        </w:rPr>
        <w:fldChar w:fldCharType="end"/>
      </w:r>
      <w:r w:rsidR="00CF4C70">
        <w:rPr>
          <w:color w:val="000000"/>
        </w:rPr>
        <w:t>To research and respond to requests for information concerning decisions in the Commission’s first</w:t>
      </w:r>
      <w:r w:rsidR="00E24B28">
        <w:rPr>
          <w:color w:val="000000"/>
        </w:rPr>
        <w:t xml:space="preserve"> and second</w:t>
      </w:r>
      <w:r w:rsidR="00CF4C70">
        <w:rPr>
          <w:color w:val="000000"/>
        </w:rPr>
        <w:t xml:space="preserve"> Cuban Claims P</w:t>
      </w:r>
      <w:r w:rsidR="00E24B28">
        <w:rPr>
          <w:color w:val="000000"/>
        </w:rPr>
        <w:t>rograms in</w:t>
      </w:r>
      <w:r w:rsidR="00CF4C70">
        <w:rPr>
          <w:color w:val="000000"/>
        </w:rPr>
        <w:t xml:space="preserve"> aid of the Department of State’s continuing implementation of the Cuban Liberty and Democratic Solidarity (LIBERTAD) Act of 1996 (the “Helms-Burton Act”). </w:t>
      </w:r>
    </w:p>
    <w:p w:rsidR="00CF4C70" w:rsidRDefault="000D660D" w:rsidP="00CF4C70">
      <w:pPr>
        <w:numPr>
          <w:ilvl w:val="0"/>
          <w:numId w:val="7"/>
        </w:numPr>
        <w:rPr>
          <w:color w:val="000000"/>
        </w:rPr>
      </w:pPr>
      <w:r>
        <w:rPr>
          <w:color w:val="000000"/>
        </w:rPr>
        <w:t>To be prepared</w:t>
      </w:r>
      <w:r w:rsidR="00CF4C70">
        <w:rPr>
          <w:color w:val="000000"/>
        </w:rPr>
        <w:t xml:space="preserve"> to adjudicate the outstanding claims of </w:t>
      </w:r>
      <w:smartTag w:uri="urn:schemas-microsoft-com:office:smarttags" w:element="country-region">
        <w:r w:rsidR="00CF4C70">
          <w:rPr>
            <w:color w:val="000000"/>
          </w:rPr>
          <w:t>U.S.</w:t>
        </w:r>
      </w:smartTag>
      <w:r w:rsidR="00CF4C70">
        <w:rPr>
          <w:color w:val="000000"/>
        </w:rPr>
        <w:t xml:space="preserve"> nationals against the Government of Iraq, upon enactment of authorizing legislation or referral to the Commis</w:t>
      </w:r>
      <w:r>
        <w:rPr>
          <w:color w:val="000000"/>
        </w:rPr>
        <w:t xml:space="preserve">sion by the Secretary of State and for a possible future program relating to </w:t>
      </w:r>
      <w:smartTag w:uri="urn:schemas-microsoft-com:office:smarttags" w:element="place">
        <w:r>
          <w:rPr>
            <w:color w:val="000000"/>
          </w:rPr>
          <w:t>Guam</w:t>
        </w:r>
      </w:smartTag>
      <w:r>
        <w:rPr>
          <w:color w:val="000000"/>
        </w:rPr>
        <w:t>.</w:t>
      </w:r>
    </w:p>
    <w:p w:rsidR="00CF4C70" w:rsidRDefault="00CF4C70" w:rsidP="00CF4C70">
      <w:pPr>
        <w:numPr>
          <w:ilvl w:val="0"/>
          <w:numId w:val="7"/>
        </w:numPr>
        <w:rPr>
          <w:color w:val="000000"/>
        </w:rPr>
      </w:pPr>
      <w:r>
        <w:rPr>
          <w:color w:val="000000"/>
        </w:rPr>
        <w:t xml:space="preserve">Upon request, to assist the Department of State in negotiations for the settlement of claims against foreign governments, including, in particular, </w:t>
      </w:r>
      <w:smartTag w:uri="urn:schemas-microsoft-com:office:smarttags" w:element="country-region">
        <w:r w:rsidR="008A39E3">
          <w:rPr>
            <w:color w:val="000000"/>
          </w:rPr>
          <w:t>U.S.</w:t>
        </w:r>
      </w:smartTag>
      <w:r w:rsidR="008A39E3">
        <w:rPr>
          <w:color w:val="000000"/>
        </w:rPr>
        <w:t xml:space="preserve"> </w:t>
      </w:r>
      <w:r>
        <w:rPr>
          <w:color w:val="000000"/>
        </w:rPr>
        <w:t xml:space="preserve">claims against </w:t>
      </w:r>
      <w:smartTag w:uri="urn:schemas-microsoft-com:office:smarttags" w:element="country-region">
        <w:r>
          <w:rPr>
            <w:color w:val="000000"/>
          </w:rPr>
          <w:t>Russia</w:t>
        </w:r>
      </w:smartTag>
      <w:r>
        <w:rPr>
          <w:color w:val="000000"/>
        </w:rPr>
        <w:t xml:space="preserve"> and the other original constituent republics of the former </w:t>
      </w:r>
      <w:smartTag w:uri="urn:schemas-microsoft-com:office:smarttags" w:element="place">
        <w:r>
          <w:rPr>
            <w:color w:val="000000"/>
          </w:rPr>
          <w:t>Soviet Union</w:t>
        </w:r>
      </w:smartTag>
      <w:r>
        <w:rPr>
          <w:color w:val="000000"/>
        </w:rPr>
        <w:t>, which were</w:t>
      </w:r>
      <w:r w:rsidR="00FC2187">
        <w:rPr>
          <w:color w:val="000000"/>
        </w:rPr>
        <w:t xml:space="preserve"> adjudicated              </w:t>
      </w:r>
      <w:r>
        <w:rPr>
          <w:color w:val="000000"/>
        </w:rPr>
        <w:t xml:space="preserve"> under Public Law 285, 84th Congress.</w:t>
      </w:r>
    </w:p>
    <w:p w:rsidR="00CF4C70" w:rsidRDefault="00725CBC" w:rsidP="006069AF">
      <w:pPr>
        <w:numPr>
          <w:ilvl w:val="0"/>
          <w:numId w:val="7"/>
        </w:numPr>
        <w:rPr>
          <w:color w:val="000000"/>
        </w:rPr>
      </w:pPr>
      <w:r>
        <w:rPr>
          <w:color w:val="000000"/>
        </w:rPr>
        <w:t xml:space="preserve">To award compensation to any previously uncompensated American POWs held in Southeast Asia during the </w:t>
      </w:r>
      <w:smartTag w:uri="urn:schemas-microsoft-com:office:smarttags" w:element="country-region">
        <w:smartTag w:uri="urn:schemas-microsoft-com:office:smarttags" w:element="place">
          <w:r>
            <w:rPr>
              <w:color w:val="000000"/>
            </w:rPr>
            <w:t>Vietnam</w:t>
          </w:r>
        </w:smartTag>
      </w:smartTag>
      <w:r>
        <w:rPr>
          <w:color w:val="000000"/>
        </w:rPr>
        <w:t xml:space="preserve"> conflict, or their survivors, for inadequate rations and inhuman</w:t>
      </w:r>
      <w:r w:rsidR="00072DEB">
        <w:rPr>
          <w:color w:val="000000"/>
        </w:rPr>
        <w:t>e treatment while in captivity.</w:t>
      </w:r>
    </w:p>
    <w:p w:rsidR="00D81F9A" w:rsidRDefault="00D81F9A" w:rsidP="00D81F9A">
      <w:pPr>
        <w:numPr>
          <w:ilvl w:val="0"/>
          <w:numId w:val="7"/>
        </w:numPr>
        <w:rPr>
          <w:color w:val="000000"/>
        </w:rPr>
      </w:pPr>
      <w:r>
        <w:rPr>
          <w:color w:val="000000"/>
        </w:rPr>
        <w:t>To advise</w:t>
      </w:r>
      <w:r w:rsidR="00072DEB">
        <w:rPr>
          <w:color w:val="000000"/>
        </w:rPr>
        <w:t xml:space="preserve"> Congress and other agencies</w:t>
      </w:r>
      <w:r>
        <w:rPr>
          <w:color w:val="000000"/>
        </w:rPr>
        <w:t xml:space="preserve"> concerning potential future claims programs and to analyze and comment on pending legislation.</w:t>
      </w:r>
    </w:p>
    <w:p w:rsidR="00CF4C70" w:rsidRDefault="00CF4C70" w:rsidP="00CF4C70">
      <w:pPr>
        <w:numPr>
          <w:ilvl w:val="0"/>
          <w:numId w:val="7"/>
        </w:numPr>
        <w:rPr>
          <w:color w:val="000000"/>
        </w:rPr>
      </w:pPr>
      <w:r>
        <w:rPr>
          <w:color w:val="000000"/>
        </w:rPr>
        <w:lastRenderedPageBreak/>
        <w:t xml:space="preserve">To advise </w:t>
      </w:r>
      <w:r w:rsidR="00725CBC">
        <w:rPr>
          <w:color w:val="000000"/>
        </w:rPr>
        <w:t xml:space="preserve">other agencies </w:t>
      </w:r>
      <w:r>
        <w:rPr>
          <w:color w:val="000000"/>
        </w:rPr>
        <w:t>on policy determinations relating to the settlement of international claims.</w:t>
      </w:r>
    </w:p>
    <w:p w:rsidR="00CF4C70" w:rsidRDefault="00CF4C70" w:rsidP="00CF4C70">
      <w:pPr>
        <w:numPr>
          <w:ilvl w:val="0"/>
          <w:numId w:val="7"/>
        </w:numPr>
        <w:rPr>
          <w:color w:val="000000"/>
        </w:rPr>
      </w:pPr>
      <w:r>
        <w:rPr>
          <w:color w:val="000000"/>
        </w:rPr>
        <w:t>To assist the Department of the Treasury in making distribution</w:t>
      </w:r>
      <w:r w:rsidR="00725CBC">
        <w:rPr>
          <w:color w:val="000000"/>
        </w:rPr>
        <w:t>s</w:t>
      </w:r>
      <w:r w:rsidR="0030630D">
        <w:rPr>
          <w:color w:val="000000"/>
        </w:rPr>
        <w:t xml:space="preserve"> on</w:t>
      </w:r>
      <w:r>
        <w:rPr>
          <w:color w:val="000000"/>
        </w:rPr>
        <w:t xml:space="preserve"> awards certified by the Commission.</w:t>
      </w:r>
    </w:p>
    <w:p w:rsidR="00CF4C70" w:rsidRDefault="00CF4C70" w:rsidP="00CF4C70">
      <w:pPr>
        <w:numPr>
          <w:ilvl w:val="0"/>
          <w:numId w:val="7"/>
        </w:numPr>
        <w:rPr>
          <w:color w:val="000000"/>
        </w:rPr>
      </w:pPr>
      <w:r>
        <w:rPr>
          <w:color w:val="000000"/>
        </w:rPr>
        <w:t>To provide executive departments and private attorneys with legal precedents issued by the Commission.</w:t>
      </w:r>
    </w:p>
    <w:p w:rsidR="00CF4C70" w:rsidRPr="00A967BA" w:rsidRDefault="00CF4C70" w:rsidP="00CF4C70">
      <w:pPr>
        <w:numPr>
          <w:ilvl w:val="0"/>
          <w:numId w:val="7"/>
        </w:numPr>
        <w:rPr>
          <w:rFonts w:cs="Arial"/>
          <w:iCs/>
          <w:color w:val="000000"/>
        </w:rPr>
      </w:pPr>
      <w:r>
        <w:rPr>
          <w:color w:val="000000"/>
        </w:rPr>
        <w:t>To provide general information concerning past programs and to respond to requests about specific decisions</w:t>
      </w:r>
      <w:r w:rsidR="0030630D">
        <w:rPr>
          <w:color w:val="000000"/>
        </w:rPr>
        <w:t xml:space="preserve"> the Commission has made on</w:t>
      </w:r>
      <w:r>
        <w:rPr>
          <w:color w:val="000000"/>
        </w:rPr>
        <w:t xml:space="preserve"> claims</w:t>
      </w:r>
      <w:r w:rsidR="00945879">
        <w:rPr>
          <w:color w:val="000000"/>
        </w:rPr>
        <w:t>.</w:t>
      </w:r>
    </w:p>
    <w:p w:rsidR="00A967BA" w:rsidRDefault="00A967BA" w:rsidP="00CF4C70">
      <w:pPr>
        <w:numPr>
          <w:ilvl w:val="0"/>
          <w:numId w:val="7"/>
        </w:numPr>
        <w:rPr>
          <w:rFonts w:cs="Arial"/>
          <w:iCs/>
          <w:color w:val="000000"/>
        </w:rPr>
      </w:pPr>
      <w:r>
        <w:rPr>
          <w:color w:val="000000"/>
        </w:rPr>
        <w:t>To respond to FOIA requests from the public regarding claims prog</w:t>
      </w:r>
      <w:r w:rsidR="007E594A">
        <w:rPr>
          <w:color w:val="000000"/>
        </w:rPr>
        <w:t>r</w:t>
      </w:r>
      <w:r>
        <w:rPr>
          <w:color w:val="000000"/>
        </w:rPr>
        <w:t>ams.</w:t>
      </w:r>
    </w:p>
    <w:p w:rsidR="00CF4C70" w:rsidRPr="008A39E3" w:rsidRDefault="00CF4C70" w:rsidP="00CF4C70">
      <w:pPr>
        <w:numPr>
          <w:ilvl w:val="0"/>
          <w:numId w:val="7"/>
        </w:numPr>
        <w:rPr>
          <w:rFonts w:cs="Arial"/>
          <w:iCs/>
        </w:rPr>
      </w:pPr>
      <w:r>
        <w:rPr>
          <w:color w:val="000000"/>
        </w:rPr>
        <w:t>To maintain a</w:t>
      </w:r>
      <w:r w:rsidR="00725CBC">
        <w:rPr>
          <w:color w:val="000000"/>
        </w:rPr>
        <w:t>n</w:t>
      </w:r>
      <w:r w:rsidR="00663287">
        <w:rPr>
          <w:color w:val="000000"/>
        </w:rPr>
        <w:t xml:space="preserve">d </w:t>
      </w:r>
      <w:r w:rsidR="00725CBC">
        <w:rPr>
          <w:color w:val="000000"/>
        </w:rPr>
        <w:t>continuously update a comprehensive database</w:t>
      </w:r>
      <w:r>
        <w:rPr>
          <w:color w:val="000000"/>
        </w:rPr>
        <w:t xml:space="preserve"> of pending and active claims programs </w:t>
      </w:r>
      <w:r w:rsidR="00725CBC">
        <w:rPr>
          <w:color w:val="000000"/>
        </w:rPr>
        <w:t xml:space="preserve">to ensure it is accurate </w:t>
      </w:r>
      <w:r>
        <w:rPr>
          <w:color w:val="000000"/>
        </w:rPr>
        <w:t xml:space="preserve">and useful to the public and other </w:t>
      </w:r>
      <w:smartTag w:uri="urn:schemas-microsoft-com:office:smarttags" w:element="place">
        <w:smartTag w:uri="urn:schemas-microsoft-com:office:smarttags" w:element="country-region">
          <w:r>
            <w:rPr>
              <w:color w:val="000000"/>
            </w:rPr>
            <w:t>U.S.</w:t>
          </w:r>
        </w:smartTag>
      </w:smartTag>
      <w:r>
        <w:rPr>
          <w:color w:val="000000"/>
        </w:rPr>
        <w:t xml:space="preserve"> agencies.</w:t>
      </w:r>
    </w:p>
    <w:p w:rsidR="0078675E" w:rsidRDefault="00FC2187" w:rsidP="0078675E">
      <w:pPr>
        <w:numPr>
          <w:ilvl w:val="0"/>
          <w:numId w:val="7"/>
        </w:numPr>
        <w:rPr>
          <w:b/>
          <w:bCs/>
        </w:rPr>
      </w:pPr>
      <w:r>
        <w:rPr>
          <w:rFonts w:cs="Arial"/>
          <w:iCs/>
        </w:rPr>
        <w:t>To maintain a Commission web</w:t>
      </w:r>
      <w:r w:rsidR="00725CBC">
        <w:rPr>
          <w:rFonts w:cs="Arial"/>
          <w:iCs/>
        </w:rPr>
        <w:t>site</w:t>
      </w:r>
      <w:r w:rsidR="008A39E3">
        <w:rPr>
          <w:rFonts w:cs="Arial"/>
          <w:iCs/>
        </w:rPr>
        <w:t xml:space="preserve"> that explains claims programs, with downloadable claims program instructions and claim forms as well as statistical information on past programs, </w:t>
      </w:r>
    </w:p>
    <w:p w:rsidR="005523D4" w:rsidRDefault="005523D4">
      <w:pPr>
        <w:rPr>
          <w:b/>
          <w:bCs/>
        </w:rPr>
      </w:pPr>
    </w:p>
    <w:p w:rsidR="00F00D25" w:rsidRDefault="00F00D25" w:rsidP="0078675E">
      <w:pPr>
        <w:numPr>
          <w:ilvl w:val="0"/>
          <w:numId w:val="11"/>
        </w:numPr>
        <w:tabs>
          <w:tab w:val="left" w:pos="1080"/>
          <w:tab w:val="left" w:pos="3600"/>
          <w:tab w:val="left" w:pos="5580"/>
        </w:tabs>
        <w:ind w:left="360"/>
        <w:rPr>
          <w:iCs/>
        </w:rPr>
        <w:sectPr w:rsidR="00F00D25" w:rsidSect="00F00D25">
          <w:headerReference w:type="even" r:id="rId19"/>
          <w:headerReference w:type="default" r:id="rId20"/>
          <w:headerReference w:type="first" r:id="rId21"/>
          <w:pgSz w:w="12240" w:h="15840" w:code="1"/>
          <w:pgMar w:top="1152" w:right="1440" w:bottom="1152" w:left="1440" w:header="432" w:footer="432" w:gutter="0"/>
          <w:cols w:space="720"/>
          <w:docGrid w:linePitch="326"/>
        </w:sectPr>
      </w:pPr>
    </w:p>
    <w:p w:rsidR="0078675E" w:rsidRPr="009136AE" w:rsidRDefault="0078675E" w:rsidP="0078675E">
      <w:pPr>
        <w:numPr>
          <w:ilvl w:val="0"/>
          <w:numId w:val="11"/>
        </w:numPr>
        <w:tabs>
          <w:tab w:val="left" w:pos="1080"/>
          <w:tab w:val="left" w:pos="3600"/>
          <w:tab w:val="left" w:pos="5580"/>
        </w:tabs>
        <w:ind w:left="360"/>
        <w:rPr>
          <w:iCs/>
        </w:rPr>
      </w:pPr>
      <w:r w:rsidRPr="009136AE">
        <w:rPr>
          <w:iCs/>
        </w:rPr>
        <w:lastRenderedPageBreak/>
        <w:t>Performance and Resource Tables</w:t>
      </w:r>
    </w:p>
    <w:p w:rsidR="0078675E" w:rsidRDefault="0078675E">
      <w:pPr>
        <w:rPr>
          <w:sz w:val="16"/>
        </w:rPr>
      </w:pPr>
    </w:p>
    <w:p w:rsidR="0078675E" w:rsidRDefault="0073580F">
      <w:pPr>
        <w:rPr>
          <w:sz w:val="16"/>
        </w:rPr>
      </w:pPr>
      <w:r w:rsidRPr="000A3E86">
        <w:rPr>
          <w:i/>
          <w:iCs/>
        </w:rPr>
        <w:object w:dxaOrig="12118" w:dyaOrig="8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5pt;height:373.5pt" o:ole="">
            <v:imagedata r:id="rId22" o:title=""/>
          </v:shape>
          <o:OLEObject Type="Embed" ProgID="Excel.Sheet.8" ShapeID="_x0000_i1025" DrawAspect="Content" ObjectID="_1358768472" r:id="rId23"/>
        </w:object>
      </w:r>
    </w:p>
    <w:p w:rsidR="0078675E" w:rsidRDefault="0078675E" w:rsidP="0078675E">
      <w:pPr>
        <w:tabs>
          <w:tab w:val="left" w:pos="13140"/>
        </w:tabs>
        <w:rPr>
          <w:sz w:val="16"/>
        </w:rPr>
      </w:pPr>
      <w:r>
        <w:object w:dxaOrig="13037" w:dyaOrig="6269">
          <v:shape id="_x0000_i1026" type="#_x0000_t75" style="width:652pt;height:313.5pt" o:ole="" o:bordertopcolor="this" o:borderleftcolor="this" o:borderbottomcolor="this" o:borderrightcolor="this">
            <v:imagedata r:id="rId24" o:title=""/>
            <w10:bordertop type="single" width="18"/>
            <w10:borderleft type="single" width="18"/>
            <w10:borderbottom type="single" width="18"/>
            <w10:borderright type="single" width="18"/>
          </v:shape>
          <o:OLEObject Type="Embed" ProgID="Excel.Sheet.8" ShapeID="_x0000_i1026" DrawAspect="Content" ObjectID="_1358768473" r:id="rId25"/>
        </w:object>
      </w:r>
    </w:p>
    <w:p w:rsidR="005523D4" w:rsidRDefault="005523D4">
      <w:pPr>
        <w:rPr>
          <w:sz w:val="16"/>
        </w:rPr>
        <w:sectPr w:rsidR="005523D4" w:rsidSect="00DD55C7">
          <w:pgSz w:w="15840" w:h="12240" w:orient="landscape" w:code="1"/>
          <w:pgMar w:top="1440" w:right="1152" w:bottom="1440" w:left="1152" w:header="432" w:footer="432" w:gutter="0"/>
          <w:cols w:space="720"/>
          <w:docGrid w:linePitch="326"/>
        </w:sectPr>
      </w:pPr>
    </w:p>
    <w:p w:rsidR="005523D4" w:rsidRPr="006E5651" w:rsidRDefault="000E6920">
      <w:pPr>
        <w:pStyle w:val="BodyText"/>
        <w:rPr>
          <w:b/>
        </w:rPr>
      </w:pPr>
      <w:r>
        <w:rPr>
          <w:b/>
        </w:rPr>
        <w:lastRenderedPageBreak/>
        <w:t>3</w:t>
      </w:r>
      <w:r w:rsidR="005523D4" w:rsidRPr="006E5651">
        <w:rPr>
          <w:b/>
        </w:rPr>
        <w:t>.   Performance, Resources, and Strategies</w:t>
      </w:r>
    </w:p>
    <w:p w:rsidR="005523D4" w:rsidRDefault="005523D4">
      <w:pPr>
        <w:pStyle w:val="BodyText"/>
      </w:pPr>
    </w:p>
    <w:p w:rsidR="0061498C" w:rsidRDefault="0061498C" w:rsidP="0061498C">
      <w:pPr>
        <w:pStyle w:val="BodyText"/>
        <w:rPr>
          <w:color w:val="000000"/>
        </w:rPr>
      </w:pPr>
      <w:r>
        <w:rPr>
          <w:color w:val="000000"/>
        </w:rPr>
        <w:t>The Commissi</w:t>
      </w:r>
      <w:r w:rsidR="001360C0">
        <w:rPr>
          <w:color w:val="000000"/>
        </w:rPr>
        <w:t>on is an independent agency.  Its</w:t>
      </w:r>
      <w:r>
        <w:rPr>
          <w:color w:val="000000"/>
        </w:rPr>
        <w:t xml:space="preserve"> budget is fully integrated with its own priorities and corresponds best to the Department’s Strategic Goal 2: Enforce Federal Laws and Represent the Rights and Interests of the American People.</w:t>
      </w:r>
    </w:p>
    <w:p w:rsidR="0061498C" w:rsidRDefault="0061498C" w:rsidP="0061498C">
      <w:pPr>
        <w:pStyle w:val="BodyText"/>
        <w:rPr>
          <w:color w:val="000000"/>
        </w:rPr>
      </w:pPr>
    </w:p>
    <w:p w:rsidR="0061498C" w:rsidRDefault="0061498C" w:rsidP="0061498C">
      <w:pPr>
        <w:pStyle w:val="BodyText"/>
        <w:ind w:firstLine="720"/>
        <w:rPr>
          <w:rFonts w:cs="Arial"/>
          <w:b/>
          <w:bCs/>
          <w:color w:val="000000"/>
        </w:rPr>
      </w:pPr>
      <w:r>
        <w:rPr>
          <w:rFonts w:cs="Arial"/>
          <w:b/>
          <w:bCs/>
          <w:color w:val="000000"/>
        </w:rPr>
        <w:t xml:space="preserve">a. </w:t>
      </w:r>
      <w:r>
        <w:rPr>
          <w:rFonts w:cs="Arial"/>
          <w:b/>
          <w:bCs/>
          <w:color w:val="000000"/>
        </w:rPr>
        <w:tab/>
        <w:t xml:space="preserve">  Performance Plan and Report for Outcomes</w:t>
      </w:r>
    </w:p>
    <w:p w:rsidR="0061498C" w:rsidRDefault="0061498C" w:rsidP="0061498C">
      <w:pPr>
        <w:rPr>
          <w:b/>
          <w:color w:val="000000"/>
        </w:rPr>
      </w:pPr>
      <w:r>
        <w:rPr>
          <w:color w:val="000000"/>
          <w:lang w:val="en-CA"/>
        </w:rPr>
        <w:t>The Commissio</w:t>
      </w:r>
      <w:r w:rsidR="000D660D">
        <w:rPr>
          <w:color w:val="000000"/>
          <w:lang w:val="en-CA"/>
        </w:rPr>
        <w:t>n’s activities are not included</w:t>
      </w:r>
      <w:r>
        <w:rPr>
          <w:color w:val="000000"/>
          <w:lang w:val="en-CA"/>
        </w:rPr>
        <w:t xml:space="preserve"> in the Department’s performance plans or reports.  However, </w:t>
      </w:r>
      <w:r w:rsidR="004709DC">
        <w:rPr>
          <w:color w:val="000000"/>
          <w:lang w:val="en-CA"/>
        </w:rPr>
        <w:fldChar w:fldCharType="begin"/>
      </w:r>
      <w:r>
        <w:rPr>
          <w:color w:val="000000"/>
          <w:lang w:val="en-CA"/>
        </w:rPr>
        <w:instrText xml:space="preserve"> SEQ CHAPTER \h \r 1</w:instrText>
      </w:r>
      <w:r w:rsidR="004709DC">
        <w:rPr>
          <w:color w:val="000000"/>
          <w:lang w:val="en-CA"/>
        </w:rPr>
        <w:fldChar w:fldCharType="end"/>
      </w:r>
      <w:proofErr w:type="spellStart"/>
      <w:r w:rsidR="00881943">
        <w:rPr>
          <w:color w:val="000000"/>
          <w:lang w:val="en-CA"/>
        </w:rPr>
        <w:t>i</w:t>
      </w:r>
      <w:proofErr w:type="spellEnd"/>
      <w:r>
        <w:rPr>
          <w:color w:val="000000"/>
        </w:rPr>
        <w:t>n addition to its principal function of adjudicating</w:t>
      </w:r>
      <w:r w:rsidR="000D660D">
        <w:rPr>
          <w:color w:val="000000"/>
        </w:rPr>
        <w:t xml:space="preserve"> claims of United States nationals</w:t>
      </w:r>
      <w:r>
        <w:rPr>
          <w:color w:val="000000"/>
        </w:rPr>
        <w:t xml:space="preserve"> against foreign governments, the Commission provides continuing informational services to claimants (and, where applicable, their legal successors) with regard to the 4</w:t>
      </w:r>
      <w:r w:rsidR="000E6920">
        <w:rPr>
          <w:color w:val="000000"/>
        </w:rPr>
        <w:t>5</w:t>
      </w:r>
      <w:r>
        <w:rPr>
          <w:color w:val="000000"/>
        </w:rPr>
        <w:t xml:space="preserve"> completed international and war claims programs it has conducted.  It also provides advice </w:t>
      </w:r>
      <w:r w:rsidR="00663287">
        <w:rPr>
          <w:color w:val="000000"/>
        </w:rPr>
        <w:t xml:space="preserve">to other Federal agencies </w:t>
      </w:r>
      <w:r>
        <w:rPr>
          <w:color w:val="000000"/>
        </w:rPr>
        <w:t>on</w:t>
      </w:r>
      <w:r w:rsidR="000D660D">
        <w:rPr>
          <w:color w:val="000000"/>
        </w:rPr>
        <w:t xml:space="preserve"> their</w:t>
      </w:r>
      <w:r>
        <w:rPr>
          <w:color w:val="000000"/>
        </w:rPr>
        <w:t xml:space="preserve"> policy determinations, preliminary planning, and evaluation of proposed legislation intended to authorize adjudication of claims of new categories of claimants, and liaison with congressional committees considering such legislation.</w:t>
      </w:r>
    </w:p>
    <w:p w:rsidR="0061498C" w:rsidRDefault="0061498C" w:rsidP="0061498C">
      <w:pPr>
        <w:pStyle w:val="BodyText"/>
        <w:rPr>
          <w:color w:val="000000"/>
        </w:rPr>
      </w:pPr>
    </w:p>
    <w:p w:rsidR="0061498C" w:rsidRDefault="0061498C" w:rsidP="0061498C">
      <w:pPr>
        <w:pStyle w:val="BodyText"/>
        <w:ind w:firstLine="720"/>
        <w:rPr>
          <w:rFonts w:cs="Arial"/>
          <w:b/>
          <w:bCs/>
          <w:color w:val="000000"/>
        </w:rPr>
      </w:pPr>
      <w:r>
        <w:rPr>
          <w:rFonts w:cs="Arial"/>
          <w:b/>
          <w:bCs/>
          <w:color w:val="000000"/>
        </w:rPr>
        <w:t>b.</w:t>
      </w:r>
      <w:r>
        <w:rPr>
          <w:rFonts w:cs="Arial"/>
          <w:b/>
          <w:bCs/>
          <w:color w:val="000000"/>
        </w:rPr>
        <w:tab/>
        <w:t xml:space="preserve">  Strategies to Accomplish Outcomes</w:t>
      </w:r>
    </w:p>
    <w:p w:rsidR="000E1CAA" w:rsidRDefault="000D660D" w:rsidP="0061498C">
      <w:pPr>
        <w:pStyle w:val="BodyText"/>
        <w:rPr>
          <w:color w:val="000000"/>
        </w:rPr>
      </w:pPr>
      <w:r>
        <w:rPr>
          <w:color w:val="000000"/>
        </w:rPr>
        <w:t>In 2012</w:t>
      </w:r>
      <w:r w:rsidR="000E6920">
        <w:rPr>
          <w:color w:val="000000"/>
        </w:rPr>
        <w:t xml:space="preserve">, </w:t>
      </w:r>
      <w:r w:rsidR="000E1CAA">
        <w:rPr>
          <w:color w:val="000000"/>
        </w:rPr>
        <w:t>the Commission will</w:t>
      </w:r>
      <w:r>
        <w:rPr>
          <w:color w:val="000000"/>
        </w:rPr>
        <w:t xml:space="preserve"> continue to</w:t>
      </w:r>
      <w:r w:rsidR="000E1CAA">
        <w:rPr>
          <w:color w:val="000000"/>
        </w:rPr>
        <w:t xml:space="preserve"> adjudicate claims against </w:t>
      </w:r>
      <w:smartTag w:uri="urn:schemas-microsoft-com:office:smarttags" w:element="country-region">
        <w:smartTag w:uri="urn:schemas-microsoft-com:office:smarttags" w:element="place">
          <w:r w:rsidR="000E1CAA">
            <w:rPr>
              <w:color w:val="000000"/>
            </w:rPr>
            <w:t>Libya</w:t>
          </w:r>
        </w:smartTag>
      </w:smartTag>
      <w:r w:rsidR="000E1CAA">
        <w:rPr>
          <w:color w:val="000000"/>
        </w:rPr>
        <w:t xml:space="preserve"> under Executive Order 13477 which implements the U.S.-Libya Claims</w:t>
      </w:r>
      <w:r>
        <w:rPr>
          <w:color w:val="000000"/>
        </w:rPr>
        <w:t xml:space="preserve"> Settlement Agreement and</w:t>
      </w:r>
      <w:r w:rsidR="000E1CAA">
        <w:rPr>
          <w:color w:val="000000"/>
        </w:rPr>
        <w:t xml:space="preserve"> the Libyan Claims Resolution Act.  </w:t>
      </w:r>
    </w:p>
    <w:p w:rsidR="000E1CAA" w:rsidRDefault="000E1CAA" w:rsidP="0061498C">
      <w:pPr>
        <w:pStyle w:val="BodyText"/>
        <w:rPr>
          <w:color w:val="000000"/>
        </w:rPr>
      </w:pPr>
    </w:p>
    <w:p w:rsidR="006E5651" w:rsidRDefault="000E1CAA" w:rsidP="0061498C">
      <w:pPr>
        <w:pStyle w:val="BodyText"/>
        <w:rPr>
          <w:color w:val="000000"/>
          <w:szCs w:val="21"/>
        </w:rPr>
      </w:pPr>
      <w:r>
        <w:rPr>
          <w:color w:val="000000"/>
        </w:rPr>
        <w:t>U</w:t>
      </w:r>
      <w:r w:rsidR="000E6920">
        <w:rPr>
          <w:color w:val="000000"/>
        </w:rPr>
        <w:t>nd</w:t>
      </w:r>
      <w:r w:rsidR="008A39E3">
        <w:rPr>
          <w:color w:val="000000"/>
          <w:szCs w:val="21"/>
        </w:rPr>
        <w:t>er the International Claims Settlement Act of 1949, as amended, and the 1995 U.S.-Alban</w:t>
      </w:r>
      <w:r w:rsidR="00891335">
        <w:rPr>
          <w:color w:val="000000"/>
          <w:szCs w:val="21"/>
        </w:rPr>
        <w:t>ian claims settlement agreement and the 2006 modification of that agreement,</w:t>
      </w:r>
      <w:r w:rsidR="008A39E3">
        <w:rPr>
          <w:color w:val="000000"/>
          <w:szCs w:val="21"/>
        </w:rPr>
        <w:t xml:space="preserve"> the Commission will continue to have authority to make awards in any additional claims against Albania that may be filed.  </w:t>
      </w:r>
    </w:p>
    <w:p w:rsidR="006E5651" w:rsidRDefault="006E5651" w:rsidP="0061498C">
      <w:pPr>
        <w:pStyle w:val="BodyText"/>
        <w:rPr>
          <w:color w:val="000000"/>
          <w:szCs w:val="21"/>
        </w:rPr>
      </w:pPr>
    </w:p>
    <w:p w:rsidR="00663287" w:rsidRDefault="008A39E3" w:rsidP="0061498C">
      <w:pPr>
        <w:pStyle w:val="BodyText"/>
        <w:rPr>
          <w:color w:val="000000"/>
          <w:szCs w:val="21"/>
        </w:rPr>
      </w:pPr>
      <w:r>
        <w:rPr>
          <w:color w:val="000000"/>
          <w:szCs w:val="21"/>
        </w:rPr>
        <w:t>T</w:t>
      </w:r>
      <w:r w:rsidR="0061498C">
        <w:rPr>
          <w:color w:val="000000"/>
        </w:rPr>
        <w:t>he Commission will also research and respond to requests for information concerning properties expropriated by the Castro regime in Cuba, in support of the Department of State’s continuing implementation of</w:t>
      </w:r>
      <w:r w:rsidR="0083568F">
        <w:rPr>
          <w:color w:val="000000"/>
        </w:rPr>
        <w:t xml:space="preserve"> Title IV of</w:t>
      </w:r>
      <w:r w:rsidR="0061498C">
        <w:rPr>
          <w:color w:val="000000"/>
        </w:rPr>
        <w:t xml:space="preserve"> the Cuban Liberty and Democratic Solidarity (LIBERTAD) Act of 1996 (the “Helms-Burton Act”).  In addition, the Commission will continue to engage in preliminary planning for a</w:t>
      </w:r>
      <w:r w:rsidR="00D65595">
        <w:rPr>
          <w:color w:val="000000"/>
        </w:rPr>
        <w:t xml:space="preserve"> possible future program relating to Guam and a program involving claims against </w:t>
      </w:r>
      <w:smartTag w:uri="urn:schemas-microsoft-com:office:smarttags" w:element="country-region">
        <w:smartTag w:uri="urn:schemas-microsoft-com:office:smarttags" w:element="place">
          <w:r w:rsidR="00D65595">
            <w:rPr>
              <w:color w:val="000000"/>
            </w:rPr>
            <w:t>Iraq</w:t>
          </w:r>
        </w:smartTag>
      </w:smartTag>
      <w:r w:rsidR="00D65595">
        <w:rPr>
          <w:color w:val="000000"/>
        </w:rPr>
        <w:t>.  The</w:t>
      </w:r>
      <w:r w:rsidR="0061498C">
        <w:rPr>
          <w:color w:val="000000"/>
        </w:rPr>
        <w:t xml:space="preserve"> Commission also will provide, upon request, technical assistance to the Department of State in conducting government-to-government claims settlement negotiations.  </w:t>
      </w:r>
      <w:r w:rsidR="0061498C">
        <w:rPr>
          <w:color w:val="000000"/>
          <w:szCs w:val="21"/>
        </w:rPr>
        <w:t xml:space="preserve"> </w:t>
      </w:r>
    </w:p>
    <w:p w:rsidR="00663287" w:rsidRDefault="00663287" w:rsidP="0061498C">
      <w:pPr>
        <w:pStyle w:val="BodyText"/>
        <w:rPr>
          <w:color w:val="000000"/>
          <w:szCs w:val="21"/>
        </w:rPr>
      </w:pPr>
    </w:p>
    <w:p w:rsidR="005523D4" w:rsidRPr="004971BA" w:rsidRDefault="0061498C" w:rsidP="004971BA">
      <w:pPr>
        <w:pStyle w:val="BodyText"/>
        <w:rPr>
          <w:color w:val="000000"/>
        </w:rPr>
      </w:pPr>
      <w:r>
        <w:rPr>
          <w:color w:val="000000"/>
        </w:rPr>
        <w:t xml:space="preserve">Under the War Claims Act of 1948, as amended, the Commission will continue to have authority to award compensation to any previously uncompensated American servicemen held as prisoners of war in Southeast Asia during the </w:t>
      </w:r>
      <w:smartTag w:uri="urn:schemas-microsoft-com:office:smarttags" w:element="country-region">
        <w:smartTag w:uri="urn:schemas-microsoft-com:office:smarttags" w:element="place">
          <w:r>
            <w:rPr>
              <w:color w:val="000000"/>
            </w:rPr>
            <w:t>Vietnam</w:t>
          </w:r>
        </w:smartTag>
      </w:smartTag>
      <w:r>
        <w:rPr>
          <w:color w:val="000000"/>
        </w:rPr>
        <w:t xml:space="preserve"> conflict, or their survivors, for inadequate rations and inhumane treatment while in captivity.</w:t>
      </w:r>
      <w:r w:rsidR="006E5651">
        <w:rPr>
          <w:color w:val="000000"/>
        </w:rPr>
        <w:t xml:space="preserve"> </w:t>
      </w:r>
    </w:p>
    <w:p w:rsidR="00892155" w:rsidRDefault="00892155" w:rsidP="00892155">
      <w:pPr>
        <w:rPr>
          <w:b/>
        </w:rPr>
      </w:pPr>
      <w:r>
        <w:rPr>
          <w:b/>
          <w:sz w:val="36"/>
        </w:rPr>
        <w:br w:type="page"/>
      </w:r>
      <w:r w:rsidR="0002706B">
        <w:rPr>
          <w:b/>
        </w:rPr>
        <w:lastRenderedPageBreak/>
        <w:t>VI</w:t>
      </w:r>
      <w:r w:rsidRPr="00A06230">
        <w:rPr>
          <w:b/>
        </w:rPr>
        <w:t>.</w:t>
      </w:r>
      <w:r w:rsidR="0002706B">
        <w:rPr>
          <w:b/>
        </w:rPr>
        <w:t xml:space="preserve">   </w:t>
      </w:r>
      <w:r w:rsidRPr="00A06230">
        <w:rPr>
          <w:b/>
        </w:rPr>
        <w:t xml:space="preserve"> Program Offsets by Item</w:t>
      </w:r>
    </w:p>
    <w:p w:rsidR="00B94F8A" w:rsidRDefault="00B94F8A" w:rsidP="00892155">
      <w:pPr>
        <w:rPr>
          <w:b/>
        </w:rPr>
      </w:pPr>
    </w:p>
    <w:p w:rsidR="00892155" w:rsidRPr="00CD12A3" w:rsidRDefault="00892155" w:rsidP="00CD12A3">
      <w:pPr>
        <w:pStyle w:val="xl19"/>
        <w:spacing w:before="0" w:after="0"/>
        <w:rPr>
          <w:rFonts w:eastAsia="Times New Roman"/>
          <w:b/>
          <w:szCs w:val="24"/>
        </w:rPr>
      </w:pPr>
      <w:r w:rsidRPr="00CD12A3">
        <w:rPr>
          <w:rFonts w:eastAsia="Times New Roman"/>
          <w:b/>
          <w:szCs w:val="24"/>
        </w:rPr>
        <w:t xml:space="preserve"> </w:t>
      </w:r>
      <w:r w:rsidR="00CD12A3">
        <w:rPr>
          <w:rFonts w:eastAsia="Times New Roman"/>
          <w:b/>
          <w:szCs w:val="24"/>
        </w:rPr>
        <w:t xml:space="preserve">  A.  </w:t>
      </w:r>
      <w:r w:rsidRPr="00CD12A3">
        <w:rPr>
          <w:rFonts w:eastAsia="Times New Roman"/>
          <w:b/>
          <w:szCs w:val="24"/>
        </w:rPr>
        <w:t>Administrative Efficiencies</w:t>
      </w:r>
    </w:p>
    <w:p w:rsidR="00892155" w:rsidRDefault="00892155" w:rsidP="00892155">
      <w:pPr>
        <w:pStyle w:val="xl19"/>
        <w:tabs>
          <w:tab w:val="left" w:pos="2340"/>
          <w:tab w:val="right" w:pos="3060"/>
          <w:tab w:val="left" w:pos="3600"/>
          <w:tab w:val="right" w:pos="4500"/>
          <w:tab w:val="left" w:pos="5310"/>
          <w:tab w:val="right" w:pos="6300"/>
        </w:tabs>
        <w:spacing w:before="0" w:after="0"/>
        <w:rPr>
          <w:rFonts w:eastAsia="Times New Roman"/>
          <w:u w:val="single"/>
        </w:rPr>
      </w:pPr>
    </w:p>
    <w:p w:rsidR="00892155" w:rsidRDefault="00892155" w:rsidP="00892155">
      <w:pPr>
        <w:pStyle w:val="xl24"/>
        <w:spacing w:before="0" w:after="0"/>
        <w:rPr>
          <w:rFonts w:eastAsia="Times New Roman"/>
          <w:szCs w:val="24"/>
        </w:rPr>
      </w:pPr>
      <w:r>
        <w:rPr>
          <w:rFonts w:eastAsia="Times New Roman"/>
          <w:szCs w:val="24"/>
        </w:rPr>
        <w:t>Description of Item</w:t>
      </w:r>
    </w:p>
    <w:p w:rsidR="00892155" w:rsidRDefault="00892155" w:rsidP="00892155">
      <w:pPr>
        <w:pStyle w:val="xl24"/>
        <w:spacing w:before="0" w:after="0"/>
        <w:rPr>
          <w:rFonts w:eastAsia="Times New Roman"/>
          <w:szCs w:val="24"/>
        </w:rPr>
      </w:pPr>
    </w:p>
    <w:p w:rsidR="00892155" w:rsidRPr="006127FD" w:rsidRDefault="00892155" w:rsidP="00892155">
      <w:pPr>
        <w:pStyle w:val="xl24"/>
        <w:spacing w:before="0" w:after="0"/>
        <w:rPr>
          <w:rFonts w:eastAsia="Times New Roman"/>
          <w:szCs w:val="24"/>
          <w:u w:val="none"/>
        </w:rPr>
      </w:pPr>
      <w:r>
        <w:rPr>
          <w:rFonts w:eastAsia="Times New Roman"/>
          <w:szCs w:val="24"/>
          <w:u w:val="none"/>
        </w:rPr>
        <w:t xml:space="preserve">The Department is continually evaluating its programs and operations with the goal of achieving across-the-board economies of scale that result in </w:t>
      </w:r>
      <w:r w:rsidR="005A7D19">
        <w:rPr>
          <w:rFonts w:eastAsia="Times New Roman"/>
          <w:szCs w:val="24"/>
          <w:u w:val="none"/>
        </w:rPr>
        <w:t>increased efficiencies and cost</w:t>
      </w:r>
      <w:r>
        <w:rPr>
          <w:rFonts w:eastAsia="Times New Roman"/>
          <w:szCs w:val="24"/>
          <w:u w:val="none"/>
        </w:rPr>
        <w:t xml:space="preserve"> savings.  In FY 2012, the Department is focusing on areas in which savings</w:t>
      </w:r>
      <w:r w:rsidR="005A7D19">
        <w:rPr>
          <w:rFonts w:eastAsia="Times New Roman"/>
          <w:szCs w:val="24"/>
          <w:u w:val="none"/>
        </w:rPr>
        <w:t xml:space="preserve"> can be achieved, which include</w:t>
      </w:r>
      <w:r>
        <w:rPr>
          <w:rFonts w:eastAsia="Times New Roman"/>
          <w:szCs w:val="24"/>
          <w:u w:val="none"/>
        </w:rPr>
        <w:t>: printing, publications, travel, conferences, supplies, and general equipment.  For FCSC, these administrative efficiencies will result in an offset of $2,000.</w:t>
      </w:r>
    </w:p>
    <w:p w:rsidR="006349F6" w:rsidRDefault="00892155">
      <w:pPr>
        <w:pStyle w:val="Footer"/>
        <w:tabs>
          <w:tab w:val="clear" w:pos="8640"/>
          <w:tab w:val="left" w:leader="dot" w:pos="4320"/>
        </w:tabs>
        <w:jc w:val="center"/>
        <w:rPr>
          <w:rFonts w:ascii="Times New Roman" w:hAnsi="Times New Roman"/>
          <w:b/>
          <w:sz w:val="36"/>
        </w:rPr>
      </w:pPr>
      <w:r>
        <w:rPr>
          <w:rFonts w:ascii="Times New Roman" w:hAnsi="Times New Roman"/>
          <w:b/>
          <w:sz w:val="36"/>
        </w:rPr>
        <w:br w:type="page"/>
      </w:r>
      <w:r w:rsidR="000A41D1">
        <w:rPr>
          <w:rFonts w:ascii="Times New Roman" w:hAnsi="Times New Roman"/>
          <w:b/>
          <w:sz w:val="36"/>
        </w:rPr>
        <w:lastRenderedPageBreak/>
        <w:t>V</w:t>
      </w:r>
      <w:r w:rsidR="00DE4D50">
        <w:rPr>
          <w:rFonts w:ascii="Times New Roman" w:hAnsi="Times New Roman"/>
          <w:b/>
          <w:sz w:val="36"/>
        </w:rPr>
        <w:t>I</w:t>
      </w:r>
      <w:r w:rsidR="00486865">
        <w:rPr>
          <w:rFonts w:ascii="Times New Roman" w:hAnsi="Times New Roman"/>
          <w:b/>
          <w:sz w:val="36"/>
        </w:rPr>
        <w:t>I</w:t>
      </w:r>
      <w:r w:rsidR="00EA758E">
        <w:rPr>
          <w:rFonts w:ascii="Times New Roman" w:hAnsi="Times New Roman"/>
          <w:b/>
          <w:sz w:val="36"/>
        </w:rPr>
        <w:t>.</w:t>
      </w:r>
      <w:r w:rsidR="000A41D1">
        <w:rPr>
          <w:rFonts w:ascii="Times New Roman" w:hAnsi="Times New Roman"/>
          <w:b/>
          <w:sz w:val="36"/>
        </w:rPr>
        <w:t xml:space="preserve"> </w:t>
      </w:r>
      <w:r w:rsidR="005523D4">
        <w:rPr>
          <w:rFonts w:ascii="Times New Roman" w:hAnsi="Times New Roman"/>
          <w:b/>
          <w:sz w:val="36"/>
        </w:rPr>
        <w:t>EXHIBITS</w:t>
      </w:r>
    </w:p>
    <w:p w:rsidR="006349F6" w:rsidRDefault="006349F6">
      <w:pPr>
        <w:pStyle w:val="Footer"/>
        <w:tabs>
          <w:tab w:val="clear" w:pos="8640"/>
          <w:tab w:val="left" w:leader="dot" w:pos="4320"/>
        </w:tabs>
        <w:jc w:val="center"/>
        <w:rPr>
          <w:rFonts w:ascii="Times New Roman" w:hAnsi="Times New Roman"/>
          <w:b/>
          <w:sz w:val="36"/>
        </w:rPr>
        <w:sectPr w:rsidR="006349F6">
          <w:headerReference w:type="even" r:id="rId26"/>
          <w:headerReference w:type="default" r:id="rId27"/>
          <w:headerReference w:type="first" r:id="rId28"/>
          <w:pgSz w:w="12240" w:h="15840" w:code="1"/>
          <w:pgMar w:top="1152" w:right="1440" w:bottom="1152" w:left="1440" w:header="432" w:footer="432" w:gutter="0"/>
          <w:cols w:space="720"/>
        </w:sectPr>
      </w:pPr>
    </w:p>
    <w:p w:rsidR="00DD0C0C" w:rsidRPr="004B5542" w:rsidRDefault="00DD0C0C" w:rsidP="00DD0C0C">
      <w:pPr>
        <w:rPr>
          <w:b/>
          <w:sz w:val="28"/>
          <w:szCs w:val="28"/>
        </w:rPr>
      </w:pPr>
      <w:r w:rsidRPr="004B5542">
        <w:rPr>
          <w:b/>
          <w:sz w:val="28"/>
          <w:szCs w:val="28"/>
        </w:rPr>
        <w:lastRenderedPageBreak/>
        <w:t>A: Organizational Chart</w:t>
      </w:r>
    </w:p>
    <w:p w:rsidR="00DD0C0C" w:rsidRDefault="00DD0C0C" w:rsidP="00DD0C0C">
      <w:pPr>
        <w:jc w:val="center"/>
        <w:rPr>
          <w:sz w:val="36"/>
          <w:szCs w:val="36"/>
        </w:rPr>
      </w:pPr>
    </w:p>
    <w:p w:rsidR="00DD0C0C" w:rsidRDefault="00DD0C0C" w:rsidP="00DD0C0C">
      <w:pPr>
        <w:jc w:val="center"/>
        <w:rPr>
          <w:sz w:val="36"/>
          <w:szCs w:val="36"/>
        </w:rPr>
      </w:pPr>
    </w:p>
    <w:p w:rsidR="00DD0C0C" w:rsidRPr="008426D2" w:rsidRDefault="00DD0C0C" w:rsidP="00DD0C0C">
      <w:pPr>
        <w:jc w:val="center"/>
        <w:rPr>
          <w:sz w:val="36"/>
          <w:szCs w:val="36"/>
        </w:rPr>
      </w:pPr>
      <w:r w:rsidRPr="008426D2">
        <w:rPr>
          <w:sz w:val="36"/>
          <w:szCs w:val="36"/>
        </w:rPr>
        <w:t>FOREIGN CLAIMS SETTLEMENT COMMISSION</w:t>
      </w:r>
    </w:p>
    <w:p w:rsidR="00DD0C0C" w:rsidRDefault="00DD0C0C" w:rsidP="00DD0C0C"/>
    <w:p w:rsidR="00DD0C0C" w:rsidRDefault="004709DC" w:rsidP="00DD0C0C">
      <w:r>
        <w:pict>
          <v:group id="_x0000_s1124" editas="canvas" style="width:666pt;height:240pt;mso-position-horizontal-relative:char;mso-position-vertical-relative:line" coordorigin="3856,2244" coordsize="7400,2679">
            <o:lock v:ext="edit" aspectratio="t"/>
            <v:shape id="_x0000_s1125" type="#_x0000_t75" style="position:absolute;left:3856;top:2244;width:7400;height:2679" o:preferrelative="f">
              <v:fill o:detectmouseclick="t"/>
              <v:path o:extrusionok="t" o:connecttype="none"/>
              <o:lock v:ext="edit" text="t"/>
            </v:shape>
            <v:rect id="_x0000_s1126" style="position:absolute;left:4789;top:2244;width:1400;height:335;v-text-anchor:middle" filled="f" fillcolor="#bbe0e3" strokeweight="2.25pt">
              <v:textbox style="mso-next-textbox:#_x0000_s1126">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COMMISSIONER</w:t>
                    </w:r>
                  </w:p>
                </w:txbxContent>
              </v:textbox>
            </v:rect>
            <v:rect id="_x0000_s1127" style="position:absolute;left:9189;top:2244;width:1400;height:335;v-text-anchor:middle" filled="f" fillcolor="#bbe0e3" strokeweight="2.25pt">
              <v:textbox style="mso-next-textbox:#_x0000_s1127">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COMMISSIONER</w:t>
                    </w:r>
                  </w:p>
                </w:txbxContent>
              </v:textbox>
            </v:rect>
            <v:rect id="_x0000_s1128" style="position:absolute;left:6989;top:2244;width:1400;height:335;v-text-anchor:middle" filled="f" fillcolor="#bbe0e3" strokeweight="2.25pt">
              <v:textbox style="mso-next-textbox:#_x0000_s1128">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CHAIRMAN</w:t>
                    </w:r>
                  </w:p>
                </w:txbxContent>
              </v:textbox>
            </v:rect>
            <v:rect id="_x0000_s1129" style="position:absolute;left:4923;top:2914;width:2200;height:268;v-text-anchor:middle" filled="f" fillcolor="#bbe0e3" strokeweight="2.25pt">
              <v:textbox style="mso-next-textbox:#_x0000_s1129">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LEGAL OFFICE</w:t>
                    </w:r>
                  </w:p>
                </w:txbxContent>
              </v:textbox>
            </v:rect>
            <v:rect id="_x0000_s1130" style="position:absolute;left:8856;top:2914;width:2200;height:268;v-text-anchor:middle" filled="f" fillcolor="#bbe0e3" strokeweight="2.25pt">
              <v:textbox style="mso-next-textbox:#_x0000_s1130">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ADMINISTRATIVE OFFICE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1" type="#_x0000_t34" style="position:absolute;left:8668;top:1612;width:310;height:2267;rotation:90;flip:x" o:connectortype="elbow" adj=",20981,-325127" strokeweight="1pt"/>
            <v:shape id="_x0000_s1132" type="#_x0000_t34" style="position:absolute;left:6701;top:1913;width:310;height:1666;rotation:90" o:connectortype="elbow" adj=",-28560,-325127" strokeweight="1pt"/>
            <v:rect id="_x0000_s1133" style="position:absolute;left:4256;top:3517;width:933;height:535;v-text-anchor:middle" filled="f" fillcolor="#bbe0e3" strokeweight="2.25pt">
              <v:textbox style="mso-next-textbox:#_x0000_s1133">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CURRENT CLAIMS PROGRAMS</w:t>
                    </w:r>
                  </w:p>
                </w:txbxContent>
              </v:textbox>
            </v:rect>
            <v:rect id="_x0000_s1134" style="position:absolute;left:5389;top:3517;width:1267;height:535;v-text-anchor:middle" filled="f" fillcolor="#bbe0e3" strokeweight="2.25pt">
              <v:textbox style="mso-next-textbox:#_x0000_s1134">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 xml:space="preserve">FUTURE CLAIMS PROGRAMS PLANNING: </w:t>
                    </w:r>
                    <w:smartTag w:uri="urn:schemas-microsoft-com:office:smarttags" w:element="place">
                      <w:smartTag w:uri="urn:schemas-microsoft-com:office:smarttags" w:element="country-region">
                        <w:r w:rsidRPr="00432B12">
                          <w:rPr>
                            <w:rFonts w:ascii="Arial" w:hAnsi="Arial" w:cs="Arial"/>
                            <w:color w:val="000000"/>
                            <w:sz w:val="20"/>
                            <w:szCs w:val="20"/>
                          </w:rPr>
                          <w:t>IRAQ</w:t>
                        </w:r>
                      </w:smartTag>
                    </w:smartTag>
                  </w:p>
                </w:txbxContent>
              </v:textbox>
            </v:rect>
            <v:rect id="_x0000_s1135" style="position:absolute;left:6989;top:3517;width:1200;height:535;v-text-anchor:middle" filled="f" fillcolor="#bbe0e3" strokeweight="2.25pt">
              <v:textbox style="mso-next-textbox:#_x0000_s1135">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PAST CLAIMS PROGRAMS</w:t>
                    </w:r>
                  </w:p>
                </w:txbxContent>
              </v:textbox>
            </v:rect>
            <v:rect id="_x0000_s1136" style="position:absolute;left:8656;top:3517;width:1200;height:535;v-text-anchor:middle" filled="f" fillcolor="#bbe0e3" strokeweight="2.25pt">
              <v:textbox style="mso-next-textbox:#_x0000_s1136">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PROGRAM SUPPORT</w:t>
                    </w:r>
                  </w:p>
                </w:txbxContent>
              </v:textbox>
            </v:rect>
            <v:rect id="_x0000_s1137" style="position:absolute;left:10056;top:3517;width:1200;height:535;v-text-anchor:middle" filled="f" fillcolor="#bbe0e3" strokeweight="2.25pt">
              <v:textbox style="mso-next-textbox:#_x0000_s1137">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BUDGET AND FISCAL PERSONNEL</w:t>
                    </w:r>
                  </w:p>
                </w:txbxContent>
              </v:textbox>
            </v:rect>
            <v:shape id="_x0000_s1138" type="#_x0000_t34" style="position:absolute;left:5217;top:2700;width:311;height:1300;rotation:90" o:connectortype="elbow" adj="10761,-46549,-208658" strokeweight="1pt"/>
            <v:shape id="_x0000_s1139" type="#_x0000_t34" style="position:absolute;left:6650;top:2567;width:311;height:1566;rotation:90;flip:x" o:connectortype="elbow" adj="10761,38670,-208658" strokeweight="1pt"/>
            <v:shape id="_x0000_s1140" type="#_x0000_t34" style="position:absolute;left:9450;top:3000;width:311;height:700;rotation:90" o:connectortype="elbow" adj="10761,-86486,-483669" strokeweight="1pt"/>
            <v:shape id="_x0000_s1141" type="#_x0000_t34" style="position:absolute;left:10150;top:3000;width:311;height:700;rotation:90;flip:x" o:connectortype="elbow" adj="10761,86486,-483669" strokeweight="1pt"/>
            <v:shapetype id="_x0000_t32" coordsize="21600,21600" o:spt="32" o:oned="t" path="m,l21600,21600e" filled="f">
              <v:path arrowok="t" fillok="f" o:connecttype="none"/>
              <o:lock v:ext="edit" shapetype="t"/>
            </v:shapetype>
            <v:shape id="_x0000_s1142" type="#_x0000_t32" style="position:absolute;left:6023;top:3194;width:1;height:311;flip:x" o:connectortype="straight" strokeweight="1pt"/>
            <v:rect id="_x0000_s1143" style="position:absolute;left:3856;top:4354;width:800;height:402;v-text-anchor:middle" filled="f" fillcolor="#bbe0e3" strokeweight="2.25pt">
              <v:textbox style="mso-next-textbox:#_x0000_s1143">
                <w:txbxContent>
                  <w:p w:rsidR="00DD0C0C" w:rsidRPr="00432B12" w:rsidRDefault="00DD0C0C" w:rsidP="00DD0C0C">
                    <w:pPr>
                      <w:autoSpaceDE w:val="0"/>
                      <w:autoSpaceDN w:val="0"/>
                      <w:adjustRightInd w:val="0"/>
                      <w:jc w:val="center"/>
                      <w:rPr>
                        <w:rFonts w:ascii="Arial" w:hAnsi="Arial" w:cs="Arial"/>
                        <w:color w:val="000000"/>
                        <w:sz w:val="20"/>
                        <w:szCs w:val="20"/>
                      </w:rPr>
                    </w:pPr>
                    <w:smartTag w:uri="urn:schemas-microsoft-com:office:smarttags" w:element="place">
                      <w:smartTag w:uri="urn:schemas-microsoft-com:office:smarttags" w:element="country-region">
                        <w:r w:rsidRPr="00432B12">
                          <w:rPr>
                            <w:rFonts w:ascii="Arial" w:hAnsi="Arial" w:cs="Arial"/>
                            <w:color w:val="000000"/>
                            <w:sz w:val="20"/>
                            <w:szCs w:val="20"/>
                          </w:rPr>
                          <w:t>ALBANIA</w:t>
                        </w:r>
                      </w:smartTag>
                    </w:smartTag>
                    <w:r w:rsidRPr="00432B12">
                      <w:rPr>
                        <w:rFonts w:ascii="Arial" w:hAnsi="Arial" w:cs="Arial"/>
                        <w:color w:val="000000"/>
                        <w:sz w:val="20"/>
                        <w:szCs w:val="20"/>
                      </w:rPr>
                      <w:t xml:space="preserve"> CLAIMS</w:t>
                    </w:r>
                  </w:p>
                </w:txbxContent>
              </v:textbox>
            </v:rect>
            <v:rect id="_x0000_s1144" style="position:absolute;left:5989;top:4320;width:934;height:603;v-text-anchor:middle" filled="f" fillcolor="#bbe0e3" strokeweight="2.25pt">
              <v:textbox style="mso-next-textbox:#_x0000_s1144">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SOVIET CLAIMS DATABASE</w:t>
                    </w:r>
                  </w:p>
                </w:txbxContent>
              </v:textbox>
            </v:rect>
            <v:rect id="_x0000_s1145" style="position:absolute;left:7123;top:4320;width:933;height:603;v-text-anchor:middle" filled="f" fillcolor="#bbe0e3" strokeweight="2.25pt">
              <v:textbox style="mso-next-textbox:#_x0000_s1145">
                <w:txbxContent>
                  <w:p w:rsidR="00DD0C0C" w:rsidRPr="00432B12" w:rsidRDefault="00DD0C0C" w:rsidP="00DD0C0C">
                    <w:pPr>
                      <w:autoSpaceDE w:val="0"/>
                      <w:autoSpaceDN w:val="0"/>
                      <w:adjustRightInd w:val="0"/>
                      <w:jc w:val="center"/>
                      <w:rPr>
                        <w:rFonts w:ascii="Arial" w:hAnsi="Arial" w:cs="Arial"/>
                        <w:color w:val="000000"/>
                        <w:sz w:val="20"/>
                        <w:szCs w:val="20"/>
                      </w:rPr>
                    </w:pPr>
                    <w:smartTag w:uri="urn:schemas-microsoft-com:office:smarttags" w:element="place">
                      <w:smartTag w:uri="urn:schemas-microsoft-com:office:smarttags" w:element="country-region">
                        <w:r w:rsidRPr="00432B12">
                          <w:rPr>
                            <w:rFonts w:ascii="Arial" w:hAnsi="Arial" w:cs="Arial"/>
                            <w:color w:val="000000"/>
                            <w:sz w:val="20"/>
                            <w:szCs w:val="20"/>
                          </w:rPr>
                          <w:t>CUBA</w:t>
                        </w:r>
                      </w:smartTag>
                    </w:smartTag>
                    <w:r w:rsidRPr="00432B12">
                      <w:rPr>
                        <w:rFonts w:ascii="Arial" w:hAnsi="Arial" w:cs="Arial"/>
                        <w:color w:val="000000"/>
                        <w:sz w:val="20"/>
                        <w:szCs w:val="20"/>
                      </w:rPr>
                      <w:t xml:space="preserve"> CLAIMS DATABASE</w:t>
                    </w:r>
                  </w:p>
                </w:txbxContent>
              </v:textbox>
            </v:rect>
            <v:rect id="_x0000_s1146" style="position:absolute;left:8189;top:4320;width:1000;height:603;v-text-anchor:middle" filled="f" fillcolor="#bbe0e3" strokeweight="2.25pt">
              <v:textbox style="mso-next-textbox:#_x0000_s1146">
                <w:txbxContent>
                  <w:p w:rsidR="00DD0C0C" w:rsidRPr="00432B12" w:rsidRDefault="00DD0C0C" w:rsidP="00DD0C0C">
                    <w:pPr>
                      <w:autoSpaceDE w:val="0"/>
                      <w:autoSpaceDN w:val="0"/>
                      <w:adjustRightInd w:val="0"/>
                      <w:jc w:val="center"/>
                      <w:rPr>
                        <w:rFonts w:ascii="Arial" w:hAnsi="Arial" w:cs="Arial"/>
                        <w:color w:val="000000"/>
                        <w:sz w:val="20"/>
                        <w:szCs w:val="20"/>
                      </w:rPr>
                    </w:pPr>
                    <w:r w:rsidRPr="00432B12">
                      <w:rPr>
                        <w:rFonts w:ascii="Arial" w:hAnsi="Arial" w:cs="Arial"/>
                        <w:color w:val="000000"/>
                        <w:sz w:val="20"/>
                        <w:szCs w:val="20"/>
                      </w:rPr>
                      <w:t>RESIDUAL ACTIVITY: 45 CLAIMS PROGRAMS</w:t>
                    </w:r>
                  </w:p>
                </w:txbxContent>
              </v:textbox>
            </v:rect>
            <v:shape id="_x0000_s1147" type="#_x0000_t34" style="position:absolute;left:8017;top:3636;width:244;height:1100;rotation:90;flip:x" o:connectortype="elbow" adj="10775,72033,-404765" strokeweight="1pt"/>
            <v:shape id="_x0000_s1148" type="#_x0000_t34" style="position:absolute;left:6901;top:3619;width:244;height:1133;rotation:90" o:connectortype="elbow" adj="10775,-69948,-404765" strokeweight="1pt"/>
            <v:shape id="_x0000_s1149" type="#_x0000_t32" style="position:absolute;left:7589;top:4064;width:1;height:244" o:connectortype="straight" strokeweight="1pt"/>
            <v:shape id="_x0000_s1150" type="#_x0000_t32" style="position:absolute;left:6201;top:2411;width:776;height:1" o:connectortype="straight" strokeweight="1pt"/>
            <v:shape id="_x0000_s1151" type="#_x0000_t32" style="position:absolute;left:8401;top:2411;width:776;height:1" o:connectortype="straight" strokeweight="1pt"/>
            <v:rect id="_x0000_s1152" style="position:absolute;left:4756;top:4354;width:800;height:402;v-text-anchor:middle" filled="f" fillcolor="#bbe0e3" strokeweight="2.25pt">
              <v:textbox style="mso-next-textbox:#_x0000_s1152">
                <w:txbxContent>
                  <w:p w:rsidR="00DD0C0C" w:rsidRPr="00432B12" w:rsidRDefault="00DD0C0C" w:rsidP="00DD0C0C">
                    <w:pPr>
                      <w:autoSpaceDE w:val="0"/>
                      <w:autoSpaceDN w:val="0"/>
                      <w:adjustRightInd w:val="0"/>
                      <w:jc w:val="center"/>
                      <w:rPr>
                        <w:rFonts w:ascii="Arial" w:hAnsi="Arial" w:cs="Arial"/>
                        <w:color w:val="000000"/>
                        <w:sz w:val="20"/>
                        <w:szCs w:val="20"/>
                      </w:rPr>
                    </w:pPr>
                    <w:smartTag w:uri="urn:schemas-microsoft-com:office:smarttags" w:element="place">
                      <w:smartTag w:uri="urn:schemas-microsoft-com:office:smarttags" w:element="country-region">
                        <w:r>
                          <w:rPr>
                            <w:rFonts w:ascii="Arial" w:hAnsi="Arial" w:cs="Arial"/>
                            <w:color w:val="000000"/>
                            <w:sz w:val="20"/>
                            <w:szCs w:val="20"/>
                          </w:rPr>
                          <w:t>LIBYA</w:t>
                        </w:r>
                      </w:smartTag>
                    </w:smartTag>
                    <w:r w:rsidRPr="00432B12">
                      <w:rPr>
                        <w:rFonts w:ascii="Arial" w:hAnsi="Arial" w:cs="Arial"/>
                        <w:color w:val="000000"/>
                        <w:sz w:val="20"/>
                        <w:szCs w:val="20"/>
                      </w:rPr>
                      <w:t xml:space="preserve"> CLAIMS</w:t>
                    </w:r>
                  </w:p>
                </w:txbxContent>
              </v:textbox>
            </v:rect>
            <v:line id="_x0000_s1153" style="position:absolute" from="4756,4052" to="4756,4153"/>
            <v:line id="_x0000_s1154" style="position:absolute" from="4256,4153" to="5256,4153"/>
            <v:line id="_x0000_s1155" style="position:absolute" from="4256,4153" to="4256,4354"/>
            <v:line id="_x0000_s1156" style="position:absolute" from="5256,4153" to="5256,4354"/>
            <w10:wrap type="none"/>
            <w10:anchorlock/>
          </v:group>
        </w:pict>
      </w:r>
    </w:p>
    <w:p w:rsidR="00DD0C0C" w:rsidRDefault="00DD0C0C" w:rsidP="00DD0C0C"/>
    <w:p w:rsidR="00DD0C0C" w:rsidRDefault="00DD0C0C" w:rsidP="00DD0C0C">
      <w:pPr>
        <w:ind w:left="6480" w:firstLine="720"/>
      </w:pPr>
      <w:r>
        <w:rPr>
          <w:noProof/>
        </w:rPr>
        <w:drawing>
          <wp:anchor distT="0" distB="0" distL="114300" distR="114300" simplePos="0" relativeHeight="251660288" behindDoc="1" locked="0" layoutInCell="1" allowOverlap="1">
            <wp:simplePos x="0" y="0"/>
            <wp:positionH relativeFrom="column">
              <wp:posOffset>4503420</wp:posOffset>
            </wp:positionH>
            <wp:positionV relativeFrom="paragraph">
              <wp:posOffset>73025</wp:posOffset>
            </wp:positionV>
            <wp:extent cx="1760220" cy="600075"/>
            <wp:effectExtent l="1905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cstate="print"/>
                    <a:srcRect/>
                    <a:stretch>
                      <a:fillRect/>
                    </a:stretch>
                  </pic:blipFill>
                  <pic:spPr bwMode="auto">
                    <a:xfrm>
                      <a:off x="0" y="0"/>
                      <a:ext cx="1760220" cy="600075"/>
                    </a:xfrm>
                    <a:prstGeom prst="rect">
                      <a:avLst/>
                    </a:prstGeom>
                    <a:noFill/>
                    <a:ln w="9525">
                      <a:noFill/>
                      <a:miter lim="800000"/>
                      <a:headEnd/>
                      <a:tailEnd/>
                    </a:ln>
                  </pic:spPr>
                </pic:pic>
              </a:graphicData>
            </a:graphic>
          </wp:anchor>
        </w:drawing>
      </w:r>
    </w:p>
    <w:p w:rsidR="00DD0C0C" w:rsidRDefault="00DD0C0C" w:rsidP="00DD0C0C">
      <w:r>
        <w:tab/>
      </w:r>
      <w:r>
        <w:tab/>
      </w:r>
      <w:r>
        <w:tab/>
      </w:r>
      <w:r>
        <w:tab/>
      </w:r>
      <w:r>
        <w:tab/>
      </w:r>
      <w:r>
        <w:tab/>
      </w:r>
      <w:r>
        <w:tab/>
      </w:r>
      <w:r>
        <w:tab/>
      </w:r>
    </w:p>
    <w:p w:rsidR="00DD0C0C" w:rsidRPr="008426D2" w:rsidRDefault="00DD0C0C" w:rsidP="00DD0C0C">
      <w:pPr>
        <w:ind w:left="5040" w:firstLine="720"/>
        <w:rPr>
          <w:sz w:val="16"/>
          <w:szCs w:val="16"/>
        </w:rPr>
      </w:pPr>
      <w:r w:rsidRPr="008426D2">
        <w:rPr>
          <w:sz w:val="20"/>
          <w:szCs w:val="20"/>
        </w:rPr>
        <w:t>Approved by</w:t>
      </w:r>
      <w:proofErr w:type="gramStart"/>
      <w:r w:rsidRPr="008426D2">
        <w:rPr>
          <w:sz w:val="20"/>
          <w:szCs w:val="20"/>
        </w:rPr>
        <w:t>:_</w:t>
      </w:r>
      <w:proofErr w:type="gramEnd"/>
      <w:r w:rsidRPr="008426D2">
        <w:rPr>
          <w:sz w:val="20"/>
          <w:szCs w:val="20"/>
        </w:rPr>
        <w:t>__</w:t>
      </w:r>
      <w:r w:rsidRPr="008E1086">
        <w:t xml:space="preserve"> </w:t>
      </w:r>
      <w:r>
        <w:rPr>
          <w:sz w:val="20"/>
          <w:szCs w:val="20"/>
        </w:rPr>
        <w:t>________</w:t>
      </w:r>
      <w:r w:rsidRPr="008426D2">
        <w:rPr>
          <w:sz w:val="20"/>
          <w:szCs w:val="20"/>
        </w:rPr>
        <w:t xml:space="preserve">____________________  Date: </w:t>
      </w:r>
      <w:r>
        <w:rPr>
          <w:sz w:val="20"/>
          <w:szCs w:val="20"/>
          <w:u w:val="single"/>
        </w:rPr>
        <w:t>March 1</w:t>
      </w:r>
      <w:r w:rsidRPr="008426D2">
        <w:rPr>
          <w:sz w:val="20"/>
          <w:szCs w:val="20"/>
          <w:u w:val="single"/>
        </w:rPr>
        <w:t>, 200</w:t>
      </w:r>
      <w:r>
        <w:rPr>
          <w:sz w:val="20"/>
          <w:szCs w:val="20"/>
          <w:u w:val="single"/>
        </w:rPr>
        <w:t xml:space="preserve">9 </w:t>
      </w:r>
      <w:r>
        <w:rPr>
          <w:sz w:val="20"/>
          <w:szCs w:val="20"/>
        </w:rPr>
        <w:tab/>
      </w:r>
      <w:r>
        <w:rPr>
          <w:sz w:val="20"/>
          <w:szCs w:val="20"/>
        </w:rPr>
        <w:tab/>
      </w:r>
      <w:r>
        <w:rPr>
          <w:sz w:val="20"/>
          <w:szCs w:val="20"/>
        </w:rPr>
        <w:tab/>
      </w:r>
      <w:r>
        <w:rPr>
          <w:sz w:val="20"/>
          <w:szCs w:val="20"/>
        </w:rPr>
        <w:tab/>
      </w:r>
      <w:r>
        <w:rPr>
          <w:sz w:val="20"/>
          <w:szCs w:val="20"/>
        </w:rPr>
        <w:tab/>
      </w:r>
      <w:r w:rsidRPr="008426D2">
        <w:rPr>
          <w:sz w:val="16"/>
          <w:szCs w:val="16"/>
        </w:rPr>
        <w:t>MAURICIO J. TAMARGO, CHAIRMAN</w:t>
      </w:r>
    </w:p>
    <w:p w:rsidR="00DD0C0C" w:rsidRDefault="00DD0C0C" w:rsidP="00DD0C0C">
      <w:pPr>
        <w:pStyle w:val="Footer"/>
        <w:tabs>
          <w:tab w:val="clear" w:pos="8640"/>
          <w:tab w:val="left" w:leader="dot" w:pos="4320"/>
        </w:tabs>
        <w:jc w:val="center"/>
        <w:rPr>
          <w:rFonts w:ascii="Times New Roman" w:hAnsi="Times New Roman"/>
          <w:b/>
          <w:sz w:val="36"/>
        </w:rPr>
      </w:pPr>
    </w:p>
    <w:p w:rsidR="00DD0C0C" w:rsidRDefault="00DD0C0C" w:rsidP="00DD0C0C">
      <w:pPr>
        <w:pStyle w:val="Footer"/>
        <w:tabs>
          <w:tab w:val="clear" w:pos="8640"/>
          <w:tab w:val="left" w:leader="dot" w:pos="4320"/>
        </w:tabs>
        <w:jc w:val="center"/>
        <w:rPr>
          <w:rFonts w:ascii="Times New Roman" w:hAnsi="Times New Roman"/>
          <w:b/>
          <w:sz w:val="36"/>
        </w:rPr>
      </w:pPr>
    </w:p>
    <w:p w:rsidR="005523D4" w:rsidRDefault="00DD0C0C" w:rsidP="00DD0C0C">
      <w:pPr>
        <w:pStyle w:val="Footer"/>
        <w:tabs>
          <w:tab w:val="clear" w:pos="8640"/>
          <w:tab w:val="left" w:leader="dot" w:pos="4320"/>
        </w:tabs>
        <w:jc w:val="center"/>
        <w:rPr>
          <w:rFonts w:ascii="Times New Roman" w:hAnsi="Times New Roman"/>
          <w:b/>
          <w:sz w:val="36"/>
        </w:rPr>
      </w:pPr>
      <w:r w:rsidRPr="004B5542">
        <w:rPr>
          <w:rFonts w:ascii="Times New Roman" w:hAnsi="Times New Roman"/>
          <w:sz w:val="22"/>
          <w:szCs w:val="22"/>
        </w:rPr>
        <w:t>Exhibit A – Organizational Chart</w:t>
      </w:r>
    </w:p>
    <w:sectPr w:rsidR="005523D4" w:rsidSect="009D7D78">
      <w:footerReference w:type="default" r:id="rId30"/>
      <w:type w:val="continuous"/>
      <w:pgSz w:w="15840" w:h="12240" w:orient="landscape" w:code="1"/>
      <w:pgMar w:top="1440" w:right="1152" w:bottom="1440" w:left="1152"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FE6" w:rsidRDefault="00C60FE6">
      <w:r>
        <w:separator/>
      </w:r>
    </w:p>
  </w:endnote>
  <w:endnote w:type="continuationSeparator" w:id="0">
    <w:p w:rsidR="00C60FE6" w:rsidRDefault="00C60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4709DC" w:rsidP="003C4332">
    <w:pPr>
      <w:pStyle w:val="Footer"/>
      <w:framePr w:wrap="around" w:vAnchor="text" w:hAnchor="margin" w:xAlign="center" w:y="1"/>
      <w:rPr>
        <w:rStyle w:val="PageNumber"/>
      </w:rPr>
    </w:pPr>
    <w:r>
      <w:rPr>
        <w:rStyle w:val="PageNumber"/>
      </w:rPr>
      <w:fldChar w:fldCharType="begin"/>
    </w:r>
    <w:r w:rsidR="00F00D25">
      <w:rPr>
        <w:rStyle w:val="PageNumber"/>
      </w:rPr>
      <w:instrText xml:space="preserve">PAGE  </w:instrText>
    </w:r>
    <w:r>
      <w:rPr>
        <w:rStyle w:val="PageNumber"/>
      </w:rPr>
      <w:fldChar w:fldCharType="end"/>
    </w:r>
  </w:p>
  <w:p w:rsidR="00F00D25" w:rsidRDefault="00F00D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4709DC">
    <w:pPr>
      <w:pStyle w:val="Footer"/>
      <w:framePr w:wrap="around" w:vAnchor="text" w:hAnchor="margin" w:xAlign="center" w:y="1"/>
      <w:rPr>
        <w:rStyle w:val="PageNumber"/>
      </w:rPr>
    </w:pPr>
    <w:r>
      <w:rPr>
        <w:rStyle w:val="PageNumber"/>
      </w:rPr>
      <w:fldChar w:fldCharType="begin"/>
    </w:r>
    <w:r w:rsidR="00F00D25">
      <w:rPr>
        <w:rStyle w:val="PageNumber"/>
      </w:rPr>
      <w:instrText xml:space="preserve">PAGE  </w:instrText>
    </w:r>
    <w:r>
      <w:rPr>
        <w:rStyle w:val="PageNumber"/>
      </w:rPr>
      <w:fldChar w:fldCharType="separate"/>
    </w:r>
    <w:r w:rsidR="00F00D25">
      <w:rPr>
        <w:rStyle w:val="PageNumber"/>
        <w:noProof/>
      </w:rPr>
      <w:t>1</w:t>
    </w:r>
    <w:r>
      <w:rPr>
        <w:rStyle w:val="PageNumber"/>
      </w:rPr>
      <w:fldChar w:fldCharType="end"/>
    </w:r>
  </w:p>
  <w:p w:rsidR="00F00D25" w:rsidRDefault="00F00D25">
    <w:pPr>
      <w:pStyle w:val="Header"/>
      <w:jc w:val="center"/>
      <w:rPr>
        <w:rFonts w:ascii="Times New Roman" w:hAnsi="Times New Roman"/>
        <w:b/>
      </w:rPr>
    </w:pPr>
  </w:p>
  <w:p w:rsidR="00F00D25" w:rsidRDefault="00F00D25">
    <w:pPr>
      <w:pStyle w:val="Header"/>
      <w:jc w:val="center"/>
      <w:rPr>
        <w:rFonts w:ascii="Times New Roman" w:hAnsi="Times New Roman"/>
        <w:b/>
      </w:rPr>
    </w:pPr>
  </w:p>
  <w:p w:rsidR="00F00D25" w:rsidRDefault="00F00D25">
    <w:pPr>
      <w:pStyle w:val="Header"/>
    </w:pPr>
    <w:r>
      <w:rPr>
        <w:rFonts w:ascii="Arial" w:hAnsi="Arial" w:cs="Arial"/>
        <w:bCs/>
        <w:sz w:val="16"/>
      </w:rPr>
      <w:tab/>
    </w:r>
    <w:r>
      <w:rPr>
        <w:rFonts w:ascii="Arial" w:hAnsi="Arial" w:cs="Arial"/>
        <w:bCs/>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26" w:rsidRDefault="0098502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9910"/>
      <w:docPartObj>
        <w:docPartGallery w:val="Page Numbers (Bottom of Page)"/>
        <w:docPartUnique/>
      </w:docPartObj>
    </w:sdtPr>
    <w:sdtContent>
      <w:p w:rsidR="00EE6F06" w:rsidRDefault="00EE6F06">
        <w:pPr>
          <w:pStyle w:val="Footer"/>
          <w:jc w:val="center"/>
        </w:pPr>
        <w:fldSimple w:instr=" PAGE   \* MERGEFORMAT ">
          <w:r>
            <w:rPr>
              <w:noProof/>
            </w:rPr>
            <w:t>11</w:t>
          </w:r>
        </w:fldSimple>
      </w:p>
    </w:sdtContent>
  </w:sdt>
  <w:p w:rsidR="00F00D25" w:rsidRDefault="00F00D25">
    <w:pPr>
      <w:pStyle w:val="Head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9911"/>
      <w:docPartObj>
        <w:docPartGallery w:val="Page Numbers (Bottom of Page)"/>
        <w:docPartUnique/>
      </w:docPartObj>
    </w:sdtPr>
    <w:sdtContent>
      <w:p w:rsidR="00EE6F06" w:rsidRDefault="00EE6F06">
        <w:pPr>
          <w:pStyle w:val="Footer"/>
          <w:jc w:val="center"/>
        </w:pPr>
      </w:p>
    </w:sdtContent>
  </w:sdt>
  <w:p w:rsidR="00EE6F06" w:rsidRDefault="00EE6F06">
    <w:pPr>
      <w:pStyle w:val="Head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FE6" w:rsidRDefault="00C60FE6">
      <w:r>
        <w:separator/>
      </w:r>
    </w:p>
  </w:footnote>
  <w:footnote w:type="continuationSeparator" w:id="0">
    <w:p w:rsidR="00C60FE6" w:rsidRDefault="00C60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26" w:rsidRDefault="0098502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F00D2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F00D2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F00D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26" w:rsidRDefault="009850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26" w:rsidRDefault="0098502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F00D2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F00D2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F00D2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F00D2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F00D25">
    <w:pPr>
      <w:pStyle w:val="Header"/>
    </w:pPr>
  </w:p>
  <w:p w:rsidR="00F00D25" w:rsidRDefault="00F00D2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25" w:rsidRDefault="00F00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BB4"/>
    <w:multiLevelType w:val="hybridMultilevel"/>
    <w:tmpl w:val="EB1AF3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36800"/>
    <w:multiLevelType w:val="hybridMultilevel"/>
    <w:tmpl w:val="0094745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6394D"/>
    <w:multiLevelType w:val="hybridMultilevel"/>
    <w:tmpl w:val="8222DF40"/>
    <w:lvl w:ilvl="0" w:tplc="866660D0">
      <w:start w:val="6"/>
      <w:numFmt w:val="upperLetter"/>
      <w:pStyle w:val="Heading4"/>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424BF3"/>
    <w:multiLevelType w:val="hybridMultilevel"/>
    <w:tmpl w:val="731C624C"/>
    <w:lvl w:ilvl="0" w:tplc="C8EC83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9B5124"/>
    <w:multiLevelType w:val="hybridMultilevel"/>
    <w:tmpl w:val="09066C86"/>
    <w:lvl w:ilvl="0" w:tplc="65E0DB9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9E1627"/>
    <w:multiLevelType w:val="hybridMultilevel"/>
    <w:tmpl w:val="21F2C352"/>
    <w:lvl w:ilvl="0" w:tplc="1DCA319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4B203F35"/>
    <w:multiLevelType w:val="hybridMultilevel"/>
    <w:tmpl w:val="0D32B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B75A7B"/>
    <w:multiLevelType w:val="multilevel"/>
    <w:tmpl w:val="E46C8040"/>
    <w:lvl w:ilvl="0">
      <w:start w:val="1"/>
      <w:numFmt w:val="upperLetter"/>
      <w:pStyle w:val="Heading6"/>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72480497"/>
    <w:multiLevelType w:val="hybridMultilevel"/>
    <w:tmpl w:val="63D08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423E21"/>
    <w:multiLevelType w:val="hybridMultilevel"/>
    <w:tmpl w:val="E35023A6"/>
    <w:lvl w:ilvl="0" w:tplc="E2C67FA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FD3AD6"/>
    <w:multiLevelType w:val="hybridMultilevel"/>
    <w:tmpl w:val="B2F4E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9"/>
  </w:num>
  <w:num w:numId="8">
    <w:abstractNumId w:val="6"/>
  </w:num>
  <w:num w:numId="9">
    <w:abstractNumId w:val="10"/>
  </w:num>
  <w:num w:numId="10">
    <w:abstractNumId w:val="5"/>
  </w:num>
  <w:num w:numId="11">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169">
      <o:colormenu v:ext="edit" fillcolor="none"/>
    </o:shapedefaults>
  </w:hdrShapeDefaults>
  <w:footnotePr>
    <w:footnote w:id="-1"/>
    <w:footnote w:id="0"/>
  </w:footnotePr>
  <w:endnotePr>
    <w:endnote w:id="-1"/>
    <w:endnote w:id="0"/>
  </w:endnotePr>
  <w:compat/>
  <w:rsids>
    <w:rsidRoot w:val="00FE4E52"/>
    <w:rsid w:val="00000D1A"/>
    <w:rsid w:val="00002988"/>
    <w:rsid w:val="0000600F"/>
    <w:rsid w:val="000105B6"/>
    <w:rsid w:val="000158DA"/>
    <w:rsid w:val="000209C8"/>
    <w:rsid w:val="00020B63"/>
    <w:rsid w:val="000211F7"/>
    <w:rsid w:val="0002658D"/>
    <w:rsid w:val="0002706B"/>
    <w:rsid w:val="00041B1D"/>
    <w:rsid w:val="00044AF4"/>
    <w:rsid w:val="000552EB"/>
    <w:rsid w:val="00056301"/>
    <w:rsid w:val="00057710"/>
    <w:rsid w:val="00057D8A"/>
    <w:rsid w:val="00063EAC"/>
    <w:rsid w:val="00070A21"/>
    <w:rsid w:val="00071363"/>
    <w:rsid w:val="00071B2F"/>
    <w:rsid w:val="00072DEB"/>
    <w:rsid w:val="00073DCE"/>
    <w:rsid w:val="0007542B"/>
    <w:rsid w:val="00076796"/>
    <w:rsid w:val="00082940"/>
    <w:rsid w:val="000848B1"/>
    <w:rsid w:val="00091E3D"/>
    <w:rsid w:val="00096B52"/>
    <w:rsid w:val="000A41D1"/>
    <w:rsid w:val="000B4AB4"/>
    <w:rsid w:val="000B665F"/>
    <w:rsid w:val="000C183E"/>
    <w:rsid w:val="000D1E37"/>
    <w:rsid w:val="000D660D"/>
    <w:rsid w:val="000E1CAA"/>
    <w:rsid w:val="000E6920"/>
    <w:rsid w:val="000E6B76"/>
    <w:rsid w:val="000F015A"/>
    <w:rsid w:val="000F5033"/>
    <w:rsid w:val="000F54DE"/>
    <w:rsid w:val="00105AE3"/>
    <w:rsid w:val="00110405"/>
    <w:rsid w:val="00112047"/>
    <w:rsid w:val="00112CDA"/>
    <w:rsid w:val="00114C6F"/>
    <w:rsid w:val="001266A8"/>
    <w:rsid w:val="00127E29"/>
    <w:rsid w:val="001360C0"/>
    <w:rsid w:val="00145A9C"/>
    <w:rsid w:val="001541FB"/>
    <w:rsid w:val="0016104A"/>
    <w:rsid w:val="001646B6"/>
    <w:rsid w:val="00165277"/>
    <w:rsid w:val="0017049B"/>
    <w:rsid w:val="0017631C"/>
    <w:rsid w:val="0017663B"/>
    <w:rsid w:val="00176E3F"/>
    <w:rsid w:val="00180137"/>
    <w:rsid w:val="00182534"/>
    <w:rsid w:val="00183D8B"/>
    <w:rsid w:val="00197916"/>
    <w:rsid w:val="001A4763"/>
    <w:rsid w:val="001A628B"/>
    <w:rsid w:val="001A704F"/>
    <w:rsid w:val="001B0E8A"/>
    <w:rsid w:val="001B22A7"/>
    <w:rsid w:val="001B5B06"/>
    <w:rsid w:val="001B785E"/>
    <w:rsid w:val="001C2607"/>
    <w:rsid w:val="001C6E0C"/>
    <w:rsid w:val="001C7122"/>
    <w:rsid w:val="001D73E6"/>
    <w:rsid w:val="001E0A0D"/>
    <w:rsid w:val="001E0D6A"/>
    <w:rsid w:val="001E1732"/>
    <w:rsid w:val="001E3448"/>
    <w:rsid w:val="001E6E22"/>
    <w:rsid w:val="001F0A85"/>
    <w:rsid w:val="001F2C4E"/>
    <w:rsid w:val="001F344A"/>
    <w:rsid w:val="00203408"/>
    <w:rsid w:val="0020366F"/>
    <w:rsid w:val="002043A9"/>
    <w:rsid w:val="002120DF"/>
    <w:rsid w:val="00220760"/>
    <w:rsid w:val="00222B0D"/>
    <w:rsid w:val="00223880"/>
    <w:rsid w:val="0022558E"/>
    <w:rsid w:val="00225B2B"/>
    <w:rsid w:val="002332B2"/>
    <w:rsid w:val="002423A4"/>
    <w:rsid w:val="00246352"/>
    <w:rsid w:val="002502D8"/>
    <w:rsid w:val="0025082A"/>
    <w:rsid w:val="00251A99"/>
    <w:rsid w:val="0025320F"/>
    <w:rsid w:val="002559DD"/>
    <w:rsid w:val="00270929"/>
    <w:rsid w:val="00272D45"/>
    <w:rsid w:val="002826C4"/>
    <w:rsid w:val="00294566"/>
    <w:rsid w:val="002A06A6"/>
    <w:rsid w:val="002A41E3"/>
    <w:rsid w:val="002B1B2D"/>
    <w:rsid w:val="002B1B2F"/>
    <w:rsid w:val="002B6A4B"/>
    <w:rsid w:val="002C3513"/>
    <w:rsid w:val="002C5033"/>
    <w:rsid w:val="002D0348"/>
    <w:rsid w:val="002D2759"/>
    <w:rsid w:val="002E2486"/>
    <w:rsid w:val="002E6BCF"/>
    <w:rsid w:val="00301CB5"/>
    <w:rsid w:val="0030630D"/>
    <w:rsid w:val="00313947"/>
    <w:rsid w:val="0031539B"/>
    <w:rsid w:val="003165B2"/>
    <w:rsid w:val="00321F4C"/>
    <w:rsid w:val="00323738"/>
    <w:rsid w:val="00324F43"/>
    <w:rsid w:val="00325973"/>
    <w:rsid w:val="00336480"/>
    <w:rsid w:val="00345C20"/>
    <w:rsid w:val="00347659"/>
    <w:rsid w:val="00353643"/>
    <w:rsid w:val="00354EF6"/>
    <w:rsid w:val="0036351F"/>
    <w:rsid w:val="003713A0"/>
    <w:rsid w:val="003846CF"/>
    <w:rsid w:val="00384B63"/>
    <w:rsid w:val="00385AF6"/>
    <w:rsid w:val="003A2F8C"/>
    <w:rsid w:val="003A36A9"/>
    <w:rsid w:val="003A67BE"/>
    <w:rsid w:val="003B24F8"/>
    <w:rsid w:val="003B2B33"/>
    <w:rsid w:val="003B353C"/>
    <w:rsid w:val="003C18F7"/>
    <w:rsid w:val="003C384A"/>
    <w:rsid w:val="003C4332"/>
    <w:rsid w:val="003C4ED3"/>
    <w:rsid w:val="003C743F"/>
    <w:rsid w:val="003D297A"/>
    <w:rsid w:val="003D4BE8"/>
    <w:rsid w:val="003D7C26"/>
    <w:rsid w:val="003E0A45"/>
    <w:rsid w:val="003E4A3F"/>
    <w:rsid w:val="003F0D05"/>
    <w:rsid w:val="003F0F63"/>
    <w:rsid w:val="003F3573"/>
    <w:rsid w:val="004054EB"/>
    <w:rsid w:val="0041799A"/>
    <w:rsid w:val="00417C2B"/>
    <w:rsid w:val="004257F0"/>
    <w:rsid w:val="004272C9"/>
    <w:rsid w:val="004318E2"/>
    <w:rsid w:val="00441853"/>
    <w:rsid w:val="00445467"/>
    <w:rsid w:val="00447A39"/>
    <w:rsid w:val="004526F1"/>
    <w:rsid w:val="00454EA4"/>
    <w:rsid w:val="00463713"/>
    <w:rsid w:val="0046608C"/>
    <w:rsid w:val="004709DC"/>
    <w:rsid w:val="00471AC1"/>
    <w:rsid w:val="004724AC"/>
    <w:rsid w:val="00484BAB"/>
    <w:rsid w:val="00486865"/>
    <w:rsid w:val="00487E94"/>
    <w:rsid w:val="0049480A"/>
    <w:rsid w:val="004965E1"/>
    <w:rsid w:val="004971BA"/>
    <w:rsid w:val="004A1259"/>
    <w:rsid w:val="004A6F49"/>
    <w:rsid w:val="004A7B9E"/>
    <w:rsid w:val="004B2962"/>
    <w:rsid w:val="004D084B"/>
    <w:rsid w:val="004D3597"/>
    <w:rsid w:val="004E2BD9"/>
    <w:rsid w:val="004E3C53"/>
    <w:rsid w:val="004E4E05"/>
    <w:rsid w:val="004F0F82"/>
    <w:rsid w:val="004F350F"/>
    <w:rsid w:val="0051256B"/>
    <w:rsid w:val="00516C35"/>
    <w:rsid w:val="00521469"/>
    <w:rsid w:val="005268A6"/>
    <w:rsid w:val="0053254E"/>
    <w:rsid w:val="00541A7E"/>
    <w:rsid w:val="005523D4"/>
    <w:rsid w:val="005539D4"/>
    <w:rsid w:val="00562850"/>
    <w:rsid w:val="00573EB1"/>
    <w:rsid w:val="005763EE"/>
    <w:rsid w:val="00576A91"/>
    <w:rsid w:val="00581B24"/>
    <w:rsid w:val="0058688B"/>
    <w:rsid w:val="005910A6"/>
    <w:rsid w:val="00591528"/>
    <w:rsid w:val="00591BBC"/>
    <w:rsid w:val="00592FB2"/>
    <w:rsid w:val="00595542"/>
    <w:rsid w:val="005975A2"/>
    <w:rsid w:val="005A4139"/>
    <w:rsid w:val="005A7D19"/>
    <w:rsid w:val="005B7054"/>
    <w:rsid w:val="005C1F91"/>
    <w:rsid w:val="005C3D0B"/>
    <w:rsid w:val="005C50BD"/>
    <w:rsid w:val="005D4920"/>
    <w:rsid w:val="005E657A"/>
    <w:rsid w:val="005F1AAF"/>
    <w:rsid w:val="00604AFA"/>
    <w:rsid w:val="006069AF"/>
    <w:rsid w:val="00610C6C"/>
    <w:rsid w:val="00612518"/>
    <w:rsid w:val="0061498C"/>
    <w:rsid w:val="006247E0"/>
    <w:rsid w:val="00624FC6"/>
    <w:rsid w:val="0063429C"/>
    <w:rsid w:val="006349F6"/>
    <w:rsid w:val="006374BB"/>
    <w:rsid w:val="006420C6"/>
    <w:rsid w:val="00646E99"/>
    <w:rsid w:val="00650AB3"/>
    <w:rsid w:val="0065414B"/>
    <w:rsid w:val="006575BF"/>
    <w:rsid w:val="00661BAB"/>
    <w:rsid w:val="00661E43"/>
    <w:rsid w:val="00662BF5"/>
    <w:rsid w:val="00663287"/>
    <w:rsid w:val="0066518C"/>
    <w:rsid w:val="00665953"/>
    <w:rsid w:val="006711DB"/>
    <w:rsid w:val="00673EA8"/>
    <w:rsid w:val="00675B89"/>
    <w:rsid w:val="006777FB"/>
    <w:rsid w:val="0068132E"/>
    <w:rsid w:val="00683D2C"/>
    <w:rsid w:val="00684275"/>
    <w:rsid w:val="006955E3"/>
    <w:rsid w:val="0069649B"/>
    <w:rsid w:val="006979E7"/>
    <w:rsid w:val="006B2080"/>
    <w:rsid w:val="006B4129"/>
    <w:rsid w:val="006C376A"/>
    <w:rsid w:val="006C6773"/>
    <w:rsid w:val="006C6C4B"/>
    <w:rsid w:val="006C6C77"/>
    <w:rsid w:val="006D4F7D"/>
    <w:rsid w:val="006E1091"/>
    <w:rsid w:val="006E53F5"/>
    <w:rsid w:val="006E5651"/>
    <w:rsid w:val="006F4600"/>
    <w:rsid w:val="00700CEA"/>
    <w:rsid w:val="00703B09"/>
    <w:rsid w:val="00703E70"/>
    <w:rsid w:val="00714CE6"/>
    <w:rsid w:val="00723368"/>
    <w:rsid w:val="00724DF4"/>
    <w:rsid w:val="00725CBC"/>
    <w:rsid w:val="00727FE5"/>
    <w:rsid w:val="00732A7F"/>
    <w:rsid w:val="00732CAE"/>
    <w:rsid w:val="0073580F"/>
    <w:rsid w:val="00746CCD"/>
    <w:rsid w:val="00750E6F"/>
    <w:rsid w:val="00754186"/>
    <w:rsid w:val="007650A9"/>
    <w:rsid w:val="00770F73"/>
    <w:rsid w:val="00774FFE"/>
    <w:rsid w:val="00780758"/>
    <w:rsid w:val="0078228D"/>
    <w:rsid w:val="007851A4"/>
    <w:rsid w:val="00785213"/>
    <w:rsid w:val="0078675E"/>
    <w:rsid w:val="00787ABD"/>
    <w:rsid w:val="0079099F"/>
    <w:rsid w:val="007909CF"/>
    <w:rsid w:val="00790AE8"/>
    <w:rsid w:val="00792950"/>
    <w:rsid w:val="0079310B"/>
    <w:rsid w:val="00795B93"/>
    <w:rsid w:val="007A5D88"/>
    <w:rsid w:val="007B4F4B"/>
    <w:rsid w:val="007C1EB2"/>
    <w:rsid w:val="007C4C99"/>
    <w:rsid w:val="007E594A"/>
    <w:rsid w:val="007E763E"/>
    <w:rsid w:val="007F02E7"/>
    <w:rsid w:val="007F14A7"/>
    <w:rsid w:val="007F242E"/>
    <w:rsid w:val="007F5978"/>
    <w:rsid w:val="0081590C"/>
    <w:rsid w:val="008220C1"/>
    <w:rsid w:val="0082391C"/>
    <w:rsid w:val="008263A9"/>
    <w:rsid w:val="0083568F"/>
    <w:rsid w:val="008425CD"/>
    <w:rsid w:val="0084473D"/>
    <w:rsid w:val="008479DA"/>
    <w:rsid w:val="008514B9"/>
    <w:rsid w:val="0086270F"/>
    <w:rsid w:val="00865276"/>
    <w:rsid w:val="00865D9B"/>
    <w:rsid w:val="00866D48"/>
    <w:rsid w:val="00867464"/>
    <w:rsid w:val="00867E1A"/>
    <w:rsid w:val="008735C4"/>
    <w:rsid w:val="008736F7"/>
    <w:rsid w:val="00881943"/>
    <w:rsid w:val="00882581"/>
    <w:rsid w:val="0088485D"/>
    <w:rsid w:val="00891335"/>
    <w:rsid w:val="00892155"/>
    <w:rsid w:val="0089231B"/>
    <w:rsid w:val="0089475F"/>
    <w:rsid w:val="008947BC"/>
    <w:rsid w:val="008A39E3"/>
    <w:rsid w:val="008A3FDF"/>
    <w:rsid w:val="008B5943"/>
    <w:rsid w:val="008C4695"/>
    <w:rsid w:val="008D5FE2"/>
    <w:rsid w:val="008E00D3"/>
    <w:rsid w:val="008F40DD"/>
    <w:rsid w:val="008F7C50"/>
    <w:rsid w:val="00905F7B"/>
    <w:rsid w:val="009139F3"/>
    <w:rsid w:val="0092036E"/>
    <w:rsid w:val="009212BC"/>
    <w:rsid w:val="00923B76"/>
    <w:rsid w:val="00927D86"/>
    <w:rsid w:val="00927DD2"/>
    <w:rsid w:val="0093178B"/>
    <w:rsid w:val="009346BD"/>
    <w:rsid w:val="0093494B"/>
    <w:rsid w:val="00944DB9"/>
    <w:rsid w:val="009456FC"/>
    <w:rsid w:val="00945879"/>
    <w:rsid w:val="009502F1"/>
    <w:rsid w:val="00957F1A"/>
    <w:rsid w:val="009636F8"/>
    <w:rsid w:val="009650FB"/>
    <w:rsid w:val="00971F26"/>
    <w:rsid w:val="00977A86"/>
    <w:rsid w:val="00982DF6"/>
    <w:rsid w:val="00985026"/>
    <w:rsid w:val="00985032"/>
    <w:rsid w:val="00995126"/>
    <w:rsid w:val="009966DD"/>
    <w:rsid w:val="009A169C"/>
    <w:rsid w:val="009A1BFB"/>
    <w:rsid w:val="009A5695"/>
    <w:rsid w:val="009A5735"/>
    <w:rsid w:val="009A5FCB"/>
    <w:rsid w:val="009A7A74"/>
    <w:rsid w:val="009B218C"/>
    <w:rsid w:val="009B5F0A"/>
    <w:rsid w:val="009B7982"/>
    <w:rsid w:val="009C4AB1"/>
    <w:rsid w:val="009C5942"/>
    <w:rsid w:val="009D7D78"/>
    <w:rsid w:val="009E3886"/>
    <w:rsid w:val="009F0EC7"/>
    <w:rsid w:val="009F621E"/>
    <w:rsid w:val="009F7147"/>
    <w:rsid w:val="009F7AD0"/>
    <w:rsid w:val="00A00628"/>
    <w:rsid w:val="00A00F29"/>
    <w:rsid w:val="00A13345"/>
    <w:rsid w:val="00A1594D"/>
    <w:rsid w:val="00A20AC7"/>
    <w:rsid w:val="00A23778"/>
    <w:rsid w:val="00A24197"/>
    <w:rsid w:val="00A25E53"/>
    <w:rsid w:val="00A3169C"/>
    <w:rsid w:val="00A343D5"/>
    <w:rsid w:val="00A34C08"/>
    <w:rsid w:val="00A45AA2"/>
    <w:rsid w:val="00A45B5B"/>
    <w:rsid w:val="00A51097"/>
    <w:rsid w:val="00A56FA7"/>
    <w:rsid w:val="00A62167"/>
    <w:rsid w:val="00A6534F"/>
    <w:rsid w:val="00A73A21"/>
    <w:rsid w:val="00A81059"/>
    <w:rsid w:val="00A93538"/>
    <w:rsid w:val="00A967BA"/>
    <w:rsid w:val="00AA1CCB"/>
    <w:rsid w:val="00AA247E"/>
    <w:rsid w:val="00AA6DEE"/>
    <w:rsid w:val="00AB11B1"/>
    <w:rsid w:val="00AB3CD9"/>
    <w:rsid w:val="00AB42B3"/>
    <w:rsid w:val="00AB6B68"/>
    <w:rsid w:val="00AC1D6B"/>
    <w:rsid w:val="00AC4B40"/>
    <w:rsid w:val="00AC5A8D"/>
    <w:rsid w:val="00AC5D29"/>
    <w:rsid w:val="00AC7673"/>
    <w:rsid w:val="00AD0AA3"/>
    <w:rsid w:val="00AD152B"/>
    <w:rsid w:val="00AD7D16"/>
    <w:rsid w:val="00AE123C"/>
    <w:rsid w:val="00AF2940"/>
    <w:rsid w:val="00AF336C"/>
    <w:rsid w:val="00AF4511"/>
    <w:rsid w:val="00AF60EC"/>
    <w:rsid w:val="00AF7646"/>
    <w:rsid w:val="00AF7F1A"/>
    <w:rsid w:val="00B00891"/>
    <w:rsid w:val="00B020EF"/>
    <w:rsid w:val="00B12525"/>
    <w:rsid w:val="00B13022"/>
    <w:rsid w:val="00B1318A"/>
    <w:rsid w:val="00B348B9"/>
    <w:rsid w:val="00B35AFE"/>
    <w:rsid w:val="00B52BBD"/>
    <w:rsid w:val="00B53C81"/>
    <w:rsid w:val="00B66091"/>
    <w:rsid w:val="00B66AAE"/>
    <w:rsid w:val="00B70533"/>
    <w:rsid w:val="00B713E9"/>
    <w:rsid w:val="00B75121"/>
    <w:rsid w:val="00B91850"/>
    <w:rsid w:val="00B92BCB"/>
    <w:rsid w:val="00B94F8A"/>
    <w:rsid w:val="00BA3DEF"/>
    <w:rsid w:val="00BB3910"/>
    <w:rsid w:val="00BB4488"/>
    <w:rsid w:val="00BB6EEC"/>
    <w:rsid w:val="00BC3EDD"/>
    <w:rsid w:val="00BC6693"/>
    <w:rsid w:val="00BD2172"/>
    <w:rsid w:val="00BD68EC"/>
    <w:rsid w:val="00BE14BE"/>
    <w:rsid w:val="00BE1656"/>
    <w:rsid w:val="00BF4CA9"/>
    <w:rsid w:val="00BF7CE8"/>
    <w:rsid w:val="00C00BDC"/>
    <w:rsid w:val="00C359DA"/>
    <w:rsid w:val="00C41741"/>
    <w:rsid w:val="00C43583"/>
    <w:rsid w:val="00C46421"/>
    <w:rsid w:val="00C578E1"/>
    <w:rsid w:val="00C60FE6"/>
    <w:rsid w:val="00C6165B"/>
    <w:rsid w:val="00C8164C"/>
    <w:rsid w:val="00C84C0D"/>
    <w:rsid w:val="00C857D5"/>
    <w:rsid w:val="00C8624E"/>
    <w:rsid w:val="00C92B71"/>
    <w:rsid w:val="00C93C74"/>
    <w:rsid w:val="00C9732A"/>
    <w:rsid w:val="00CA3B6B"/>
    <w:rsid w:val="00CB0BFB"/>
    <w:rsid w:val="00CC5201"/>
    <w:rsid w:val="00CC7AE1"/>
    <w:rsid w:val="00CD038D"/>
    <w:rsid w:val="00CD12A3"/>
    <w:rsid w:val="00CE3F7D"/>
    <w:rsid w:val="00CE785F"/>
    <w:rsid w:val="00CF0D81"/>
    <w:rsid w:val="00CF1D99"/>
    <w:rsid w:val="00CF4C70"/>
    <w:rsid w:val="00CF5CB7"/>
    <w:rsid w:val="00D02329"/>
    <w:rsid w:val="00D023BC"/>
    <w:rsid w:val="00D053D3"/>
    <w:rsid w:val="00D11B15"/>
    <w:rsid w:val="00D1343D"/>
    <w:rsid w:val="00D17C93"/>
    <w:rsid w:val="00D214E4"/>
    <w:rsid w:val="00D25A2F"/>
    <w:rsid w:val="00D271C0"/>
    <w:rsid w:val="00D349FB"/>
    <w:rsid w:val="00D37690"/>
    <w:rsid w:val="00D4393E"/>
    <w:rsid w:val="00D441FE"/>
    <w:rsid w:val="00D45F5A"/>
    <w:rsid w:val="00D45F79"/>
    <w:rsid w:val="00D54D72"/>
    <w:rsid w:val="00D57E7B"/>
    <w:rsid w:val="00D64002"/>
    <w:rsid w:val="00D65595"/>
    <w:rsid w:val="00D71E3C"/>
    <w:rsid w:val="00D72F1C"/>
    <w:rsid w:val="00D7335F"/>
    <w:rsid w:val="00D766D4"/>
    <w:rsid w:val="00D81F9A"/>
    <w:rsid w:val="00D83AB9"/>
    <w:rsid w:val="00D930E1"/>
    <w:rsid w:val="00D95015"/>
    <w:rsid w:val="00D95DA7"/>
    <w:rsid w:val="00DA5BE7"/>
    <w:rsid w:val="00DB0B43"/>
    <w:rsid w:val="00DB56CA"/>
    <w:rsid w:val="00DB7641"/>
    <w:rsid w:val="00DC1B2F"/>
    <w:rsid w:val="00DC21EB"/>
    <w:rsid w:val="00DC3A0F"/>
    <w:rsid w:val="00DC40B4"/>
    <w:rsid w:val="00DC5A5F"/>
    <w:rsid w:val="00DC669A"/>
    <w:rsid w:val="00DD0C0C"/>
    <w:rsid w:val="00DD32C8"/>
    <w:rsid w:val="00DD55C7"/>
    <w:rsid w:val="00DD671B"/>
    <w:rsid w:val="00DE4D50"/>
    <w:rsid w:val="00DE5854"/>
    <w:rsid w:val="00DF4489"/>
    <w:rsid w:val="00DF7CD1"/>
    <w:rsid w:val="00E016BE"/>
    <w:rsid w:val="00E025BA"/>
    <w:rsid w:val="00E06200"/>
    <w:rsid w:val="00E2028B"/>
    <w:rsid w:val="00E2164D"/>
    <w:rsid w:val="00E24B28"/>
    <w:rsid w:val="00E32246"/>
    <w:rsid w:val="00E5153C"/>
    <w:rsid w:val="00E5317E"/>
    <w:rsid w:val="00E556C4"/>
    <w:rsid w:val="00E57225"/>
    <w:rsid w:val="00E6391C"/>
    <w:rsid w:val="00E70A6E"/>
    <w:rsid w:val="00E71C70"/>
    <w:rsid w:val="00E83497"/>
    <w:rsid w:val="00E84857"/>
    <w:rsid w:val="00E974E2"/>
    <w:rsid w:val="00EA0085"/>
    <w:rsid w:val="00EA607B"/>
    <w:rsid w:val="00EA758E"/>
    <w:rsid w:val="00EB4999"/>
    <w:rsid w:val="00EC0FF4"/>
    <w:rsid w:val="00EC1BE9"/>
    <w:rsid w:val="00EC2D89"/>
    <w:rsid w:val="00EC448A"/>
    <w:rsid w:val="00EC61F8"/>
    <w:rsid w:val="00EC676F"/>
    <w:rsid w:val="00EC7695"/>
    <w:rsid w:val="00ED453F"/>
    <w:rsid w:val="00EE1733"/>
    <w:rsid w:val="00EE6239"/>
    <w:rsid w:val="00EE659F"/>
    <w:rsid w:val="00EE6D34"/>
    <w:rsid w:val="00EE6D7E"/>
    <w:rsid w:val="00EE6F06"/>
    <w:rsid w:val="00EF3AAE"/>
    <w:rsid w:val="00EF4FC2"/>
    <w:rsid w:val="00EF5546"/>
    <w:rsid w:val="00F00107"/>
    <w:rsid w:val="00F00D25"/>
    <w:rsid w:val="00F01166"/>
    <w:rsid w:val="00F02DBF"/>
    <w:rsid w:val="00F1392E"/>
    <w:rsid w:val="00F153E4"/>
    <w:rsid w:val="00F2041A"/>
    <w:rsid w:val="00F236AA"/>
    <w:rsid w:val="00F26C2B"/>
    <w:rsid w:val="00F360BE"/>
    <w:rsid w:val="00F549CA"/>
    <w:rsid w:val="00F6445E"/>
    <w:rsid w:val="00F65A52"/>
    <w:rsid w:val="00F65DAC"/>
    <w:rsid w:val="00F7126D"/>
    <w:rsid w:val="00F73527"/>
    <w:rsid w:val="00F73BC1"/>
    <w:rsid w:val="00F74538"/>
    <w:rsid w:val="00F762C1"/>
    <w:rsid w:val="00F91EA8"/>
    <w:rsid w:val="00F93996"/>
    <w:rsid w:val="00F95328"/>
    <w:rsid w:val="00F979B7"/>
    <w:rsid w:val="00FA00D5"/>
    <w:rsid w:val="00FA05AC"/>
    <w:rsid w:val="00FA069E"/>
    <w:rsid w:val="00FA2D22"/>
    <w:rsid w:val="00FB407B"/>
    <w:rsid w:val="00FB45A8"/>
    <w:rsid w:val="00FB5357"/>
    <w:rsid w:val="00FB5B0A"/>
    <w:rsid w:val="00FC2187"/>
    <w:rsid w:val="00FC677E"/>
    <w:rsid w:val="00FC7486"/>
    <w:rsid w:val="00FD2E11"/>
    <w:rsid w:val="00FD3BEB"/>
    <w:rsid w:val="00FD4E31"/>
    <w:rsid w:val="00FD69A4"/>
    <w:rsid w:val="00FE01FC"/>
    <w:rsid w:val="00FE0345"/>
    <w:rsid w:val="00FE4E52"/>
    <w:rsid w:val="00FE6ADD"/>
    <w:rsid w:val="00FF195A"/>
    <w:rsid w:val="00FF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colormenu v:ext="edit" fillcolor="none"/>
    </o:shapedefaults>
    <o:shapelayout v:ext="edit">
      <o:idmap v:ext="edit" data="1"/>
      <o:rules v:ext="edit">
        <o:r id="V:Rule13" type="connector" idref="#_x0000_s1131">
          <o:proxy start="" idref="#_x0000_s1128" connectloc="2"/>
          <o:proxy end="" idref="#_x0000_s1130" connectloc="0"/>
        </o:r>
        <o:r id="V:Rule14" type="connector" idref="#_x0000_s1150">
          <o:proxy start="" idref="#_x0000_s1126" connectloc="3"/>
          <o:proxy end="" idref="#_x0000_s1128" connectloc="1"/>
        </o:r>
        <o:r id="V:Rule15" type="connector" idref="#_x0000_s1139">
          <o:proxy start="" idref="#_x0000_s1129" connectloc="2"/>
          <o:proxy end="" idref="#_x0000_s1135" connectloc="0"/>
        </o:r>
        <o:r id="V:Rule16" type="connector" idref="#_x0000_s1140">
          <o:proxy start="" idref="#_x0000_s1130" connectloc="2"/>
          <o:proxy end="" idref="#_x0000_s1136" connectloc="0"/>
        </o:r>
        <o:r id="V:Rule17" type="connector" idref="#_x0000_s1132">
          <o:proxy start="" idref="#_x0000_s1128" connectloc="2"/>
          <o:proxy end="" idref="#_x0000_s1129" connectloc="0"/>
        </o:r>
        <o:r id="V:Rule18" type="connector" idref="#_x0000_s1141">
          <o:proxy start="" idref="#_x0000_s1130" connectloc="2"/>
          <o:proxy end="" idref="#_x0000_s1137" connectloc="0"/>
        </o:r>
        <o:r id="V:Rule19" type="connector" idref="#_x0000_s1151">
          <o:proxy start="" idref="#_x0000_s1128" connectloc="3"/>
          <o:proxy end="" idref="#_x0000_s1127" connectloc="1"/>
        </o:r>
        <o:r id="V:Rule20" type="connector" idref="#_x0000_s1149">
          <o:proxy start="" idref="#_x0000_s1135" connectloc="2"/>
          <o:proxy end="" idref="#_x0000_s1145" connectloc="0"/>
        </o:r>
        <o:r id="V:Rule21" type="connector" idref="#_x0000_s1147">
          <o:proxy start="" idref="#_x0000_s1135" connectloc="2"/>
          <o:proxy end="" idref="#_x0000_s1146" connectloc="0"/>
        </o:r>
        <o:r id="V:Rule22" type="connector" idref="#_x0000_s1142">
          <o:proxy start="" idref="#_x0000_s1129" connectloc="2"/>
          <o:proxy end="" idref="#_x0000_s1134" connectloc="0"/>
        </o:r>
        <o:r id="V:Rule23" type="connector" idref="#_x0000_s1138">
          <o:proxy start="" idref="#_x0000_s1129" connectloc="2"/>
          <o:proxy end="" idref="#_x0000_s1133" connectloc="0"/>
        </o:r>
        <o:r id="V:Rule24" type="connector" idref="#_x0000_s1148">
          <o:proxy start="" idref="#_x0000_s1135" connectloc="2"/>
          <o:proxy end="" idref="#_x0000_s1144" connectloc="0"/>
        </o:r>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DBF"/>
    <w:rPr>
      <w:sz w:val="24"/>
      <w:szCs w:val="24"/>
    </w:rPr>
  </w:style>
  <w:style w:type="paragraph" w:styleId="Heading1">
    <w:name w:val="heading 1"/>
    <w:basedOn w:val="Normal"/>
    <w:next w:val="Normal"/>
    <w:qFormat/>
    <w:rsid w:val="00F02DBF"/>
    <w:pPr>
      <w:keepNext/>
      <w:jc w:val="center"/>
      <w:outlineLvl w:val="0"/>
    </w:pPr>
    <w:rPr>
      <w:rFonts w:ascii="Courier" w:hAnsi="Courier"/>
      <w:b/>
      <w:szCs w:val="20"/>
    </w:rPr>
  </w:style>
  <w:style w:type="paragraph" w:styleId="Heading2">
    <w:name w:val="heading 2"/>
    <w:basedOn w:val="Normal"/>
    <w:next w:val="Normal"/>
    <w:qFormat/>
    <w:rsid w:val="00F02DBF"/>
    <w:pPr>
      <w:keepNext/>
      <w:jc w:val="right"/>
      <w:outlineLvl w:val="1"/>
    </w:pPr>
    <w:rPr>
      <w:rFonts w:ascii="Arial" w:hAnsi="Arial"/>
      <w:b/>
      <w:sz w:val="20"/>
      <w:szCs w:val="20"/>
      <w:u w:val="single"/>
    </w:rPr>
  </w:style>
  <w:style w:type="paragraph" w:styleId="Heading3">
    <w:name w:val="heading 3"/>
    <w:basedOn w:val="Normal"/>
    <w:next w:val="Normal"/>
    <w:qFormat/>
    <w:rsid w:val="00F02DBF"/>
    <w:pPr>
      <w:keepNext/>
      <w:tabs>
        <w:tab w:val="left" w:pos="540"/>
      </w:tabs>
      <w:autoSpaceDE w:val="0"/>
      <w:autoSpaceDN w:val="0"/>
      <w:adjustRightInd w:val="0"/>
      <w:outlineLvl w:val="2"/>
    </w:pPr>
    <w:rPr>
      <w:b/>
      <w:bCs/>
      <w:color w:val="000000"/>
    </w:rPr>
  </w:style>
  <w:style w:type="paragraph" w:styleId="Heading4">
    <w:name w:val="heading 4"/>
    <w:basedOn w:val="Normal"/>
    <w:next w:val="Normal"/>
    <w:qFormat/>
    <w:rsid w:val="00F02DBF"/>
    <w:pPr>
      <w:keepNext/>
      <w:numPr>
        <w:numId w:val="2"/>
      </w:numPr>
      <w:outlineLvl w:val="3"/>
    </w:pPr>
    <w:rPr>
      <w:rFonts w:ascii="Courier New" w:hAnsi="Courier New"/>
      <w:b/>
      <w:szCs w:val="20"/>
    </w:rPr>
  </w:style>
  <w:style w:type="paragraph" w:styleId="Heading5">
    <w:name w:val="heading 5"/>
    <w:basedOn w:val="Normal"/>
    <w:next w:val="Normal"/>
    <w:qFormat/>
    <w:rsid w:val="00F02DBF"/>
    <w:pPr>
      <w:keepNext/>
      <w:outlineLvl w:val="4"/>
    </w:pPr>
    <w:rPr>
      <w:b/>
      <w:bCs/>
      <w:sz w:val="18"/>
    </w:rPr>
  </w:style>
  <w:style w:type="paragraph" w:styleId="Heading6">
    <w:name w:val="heading 6"/>
    <w:basedOn w:val="Normal"/>
    <w:next w:val="Normal"/>
    <w:qFormat/>
    <w:rsid w:val="00F02DBF"/>
    <w:pPr>
      <w:keepNext/>
      <w:numPr>
        <w:numId w:val="1"/>
      </w:numPr>
      <w:outlineLvl w:val="5"/>
    </w:pPr>
    <w:rPr>
      <w:b/>
      <w:szCs w:val="20"/>
    </w:rPr>
  </w:style>
  <w:style w:type="paragraph" w:styleId="Heading7">
    <w:name w:val="heading 7"/>
    <w:basedOn w:val="Normal"/>
    <w:next w:val="Normal"/>
    <w:qFormat/>
    <w:rsid w:val="00F02DBF"/>
    <w:pPr>
      <w:keepNext/>
      <w:jc w:val="center"/>
      <w:outlineLvl w:val="6"/>
    </w:pPr>
    <w:rPr>
      <w:szCs w:val="20"/>
    </w:rPr>
  </w:style>
  <w:style w:type="paragraph" w:styleId="Heading8">
    <w:name w:val="heading 8"/>
    <w:basedOn w:val="Normal"/>
    <w:next w:val="Normal"/>
    <w:qFormat/>
    <w:rsid w:val="00F02DBF"/>
    <w:pPr>
      <w:keepNext/>
      <w:tabs>
        <w:tab w:val="right" w:pos="8928"/>
      </w:tabs>
      <w:jc w:val="center"/>
      <w:outlineLvl w:val="7"/>
    </w:pPr>
    <w:rPr>
      <w:rFonts w:ascii="Arial" w:hAnsi="Arial" w:cs="Arial"/>
      <w:b/>
      <w:sz w:val="48"/>
    </w:rPr>
  </w:style>
  <w:style w:type="paragraph" w:styleId="Heading9">
    <w:name w:val="heading 9"/>
    <w:basedOn w:val="Normal"/>
    <w:next w:val="Normal"/>
    <w:qFormat/>
    <w:rsid w:val="00F02DBF"/>
    <w:pPr>
      <w:keepNext/>
      <w:ind w:left="720"/>
      <w:outlineLvl w:val="8"/>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2DBF"/>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paragraph" w:customStyle="1" w:styleId="xl19">
    <w:name w:val="xl19"/>
    <w:basedOn w:val="Normal"/>
    <w:rsid w:val="00F02DBF"/>
    <w:pPr>
      <w:spacing w:before="100" w:after="100"/>
    </w:pPr>
    <w:rPr>
      <w:rFonts w:eastAsia="Arial Unicode MS"/>
      <w:szCs w:val="20"/>
    </w:rPr>
  </w:style>
  <w:style w:type="paragraph" w:customStyle="1" w:styleId="APP-3A">
    <w:name w:val="APP-3A"/>
    <w:rsid w:val="00F02DBF"/>
    <w:rPr>
      <w:rFonts w:ascii="Arial" w:hAnsi="Arial"/>
      <w:b/>
    </w:rPr>
  </w:style>
  <w:style w:type="paragraph" w:customStyle="1" w:styleId="xl33">
    <w:name w:val="xl33"/>
    <w:basedOn w:val="Normal"/>
    <w:rsid w:val="00F02DBF"/>
    <w:pPr>
      <w:spacing w:before="100" w:after="100"/>
      <w:jc w:val="center"/>
    </w:pPr>
    <w:rPr>
      <w:rFonts w:ascii="Arial" w:eastAsia="Arial Unicode MS" w:hAnsi="Arial"/>
      <w:b/>
      <w:szCs w:val="20"/>
    </w:rPr>
  </w:style>
  <w:style w:type="paragraph" w:styleId="BodyText">
    <w:name w:val="Body Text"/>
    <w:aliases w:val="Hanging,body text,bt,heading3,NCDOT Body Text,1body,BodText,Body Txt,FL IND"/>
    <w:basedOn w:val="Normal"/>
    <w:rsid w:val="00F02DBF"/>
    <w:rPr>
      <w:szCs w:val="20"/>
    </w:rPr>
  </w:style>
  <w:style w:type="paragraph" w:customStyle="1" w:styleId="xl27">
    <w:name w:val="xl27"/>
    <w:basedOn w:val="Normal"/>
    <w:rsid w:val="00F02DBF"/>
    <w:pPr>
      <w:spacing w:before="100" w:after="100"/>
    </w:pPr>
    <w:rPr>
      <w:rFonts w:ascii="Arial" w:eastAsia="Arial Unicode MS" w:hAnsi="Arial"/>
      <w:b/>
      <w:szCs w:val="20"/>
    </w:rPr>
  </w:style>
  <w:style w:type="paragraph" w:styleId="FootnoteText">
    <w:name w:val="footnote text"/>
    <w:basedOn w:val="Normal"/>
    <w:semiHidden/>
    <w:rsid w:val="00F02DBF"/>
    <w:rPr>
      <w:sz w:val="20"/>
      <w:szCs w:val="20"/>
    </w:rPr>
  </w:style>
  <w:style w:type="paragraph" w:customStyle="1" w:styleId="xl34">
    <w:name w:val="xl34"/>
    <w:basedOn w:val="Normal"/>
    <w:rsid w:val="00F02DBF"/>
    <w:pPr>
      <w:spacing w:before="100" w:after="100"/>
      <w:jc w:val="center"/>
    </w:pPr>
    <w:rPr>
      <w:rFonts w:eastAsia="Arial Unicode MS"/>
      <w:b/>
      <w:sz w:val="20"/>
      <w:szCs w:val="20"/>
    </w:rPr>
  </w:style>
  <w:style w:type="paragraph" w:styleId="Title">
    <w:name w:val="Title"/>
    <w:basedOn w:val="Normal"/>
    <w:qFormat/>
    <w:rsid w:val="00F02DBF"/>
    <w:pPr>
      <w:ind w:left="720"/>
      <w:jc w:val="center"/>
    </w:pPr>
    <w:rPr>
      <w:b/>
      <w:i/>
      <w:szCs w:val="20"/>
    </w:rPr>
  </w:style>
  <w:style w:type="paragraph" w:styleId="BodyText2">
    <w:name w:val="Body Text 2"/>
    <w:basedOn w:val="Normal"/>
    <w:rsid w:val="00F02DBF"/>
    <w:rPr>
      <w:sz w:val="20"/>
      <w:szCs w:val="20"/>
    </w:rPr>
  </w:style>
  <w:style w:type="paragraph" w:styleId="Header">
    <w:name w:val="header"/>
    <w:basedOn w:val="Normal"/>
    <w:rsid w:val="00F02DBF"/>
    <w:pPr>
      <w:tabs>
        <w:tab w:val="center" w:pos="4320"/>
        <w:tab w:val="right" w:pos="8640"/>
      </w:tabs>
    </w:pPr>
    <w:rPr>
      <w:rFonts w:ascii="CG Times" w:hAnsi="CG Times"/>
      <w:szCs w:val="20"/>
    </w:rPr>
  </w:style>
  <w:style w:type="paragraph" w:customStyle="1" w:styleId="xl24">
    <w:name w:val="xl24"/>
    <w:basedOn w:val="Normal"/>
    <w:rsid w:val="00F02DBF"/>
    <w:pPr>
      <w:spacing w:before="100" w:after="100"/>
    </w:pPr>
    <w:rPr>
      <w:rFonts w:eastAsia="Arial Unicode MS"/>
      <w:szCs w:val="20"/>
      <w:u w:val="single"/>
    </w:rPr>
  </w:style>
  <w:style w:type="paragraph" w:styleId="BodyText3">
    <w:name w:val="Body Text 3"/>
    <w:basedOn w:val="Normal"/>
    <w:rsid w:val="00F02DBF"/>
    <w:rPr>
      <w:color w:val="000000"/>
      <w:szCs w:val="20"/>
    </w:rPr>
  </w:style>
  <w:style w:type="paragraph" w:customStyle="1" w:styleId="xl22">
    <w:name w:val="xl22"/>
    <w:basedOn w:val="Normal"/>
    <w:rsid w:val="00F02DBF"/>
    <w:pPr>
      <w:spacing w:before="100" w:after="100"/>
      <w:jc w:val="center"/>
    </w:pPr>
    <w:rPr>
      <w:rFonts w:eastAsia="Arial Unicode MS"/>
      <w:szCs w:val="20"/>
      <w:u w:val="single"/>
    </w:rPr>
  </w:style>
  <w:style w:type="paragraph" w:styleId="TOC1">
    <w:name w:val="toc 1"/>
    <w:basedOn w:val="Normal"/>
    <w:next w:val="Normal"/>
    <w:autoRedefine/>
    <w:semiHidden/>
    <w:rsid w:val="00F02DBF"/>
    <w:pPr>
      <w:jc w:val="right"/>
    </w:pPr>
    <w:rPr>
      <w:szCs w:val="20"/>
    </w:rPr>
  </w:style>
  <w:style w:type="paragraph" w:styleId="TOAHeading">
    <w:name w:val="toa heading"/>
    <w:basedOn w:val="Normal"/>
    <w:next w:val="Normal"/>
    <w:semiHidden/>
    <w:rsid w:val="00F02DBF"/>
    <w:pPr>
      <w:widowControl w:val="0"/>
      <w:tabs>
        <w:tab w:val="right" w:pos="9360"/>
      </w:tabs>
      <w:suppressAutoHyphens/>
    </w:pPr>
    <w:rPr>
      <w:rFonts w:ascii="Courier New" w:hAnsi="Courier New"/>
      <w:sz w:val="20"/>
      <w:szCs w:val="20"/>
    </w:rPr>
  </w:style>
  <w:style w:type="character" w:styleId="PageNumber">
    <w:name w:val="page number"/>
    <w:basedOn w:val="DefaultParagraphFont"/>
    <w:rsid w:val="00F02DBF"/>
  </w:style>
  <w:style w:type="paragraph" w:styleId="BodyTextIndent">
    <w:name w:val="Body Text Indent"/>
    <w:basedOn w:val="Normal"/>
    <w:rsid w:val="00F02DBF"/>
    <w:pPr>
      <w:tabs>
        <w:tab w:val="left" w:leader="dot" w:pos="7920"/>
        <w:tab w:val="right" w:pos="8640"/>
      </w:tabs>
      <w:ind w:left="720"/>
    </w:pPr>
    <w:rPr>
      <w:bCs/>
      <w:i/>
      <w:iCs/>
    </w:rPr>
  </w:style>
  <w:style w:type="paragraph" w:styleId="BalloonText">
    <w:name w:val="Balloon Text"/>
    <w:basedOn w:val="Normal"/>
    <w:semiHidden/>
    <w:rsid w:val="00F02DBF"/>
    <w:rPr>
      <w:rFonts w:ascii="Tahoma" w:hAnsi="Tahoma" w:cs="Tahoma"/>
      <w:sz w:val="16"/>
      <w:szCs w:val="16"/>
    </w:rPr>
  </w:style>
  <w:style w:type="paragraph" w:customStyle="1" w:styleId="Style0">
    <w:name w:val="Style0"/>
    <w:rsid w:val="00650AB3"/>
    <w:pPr>
      <w:autoSpaceDE w:val="0"/>
      <w:autoSpaceDN w:val="0"/>
      <w:adjustRightInd w:val="0"/>
    </w:pPr>
    <w:rPr>
      <w:rFonts w:ascii="Arial" w:hAnsi="Arial"/>
      <w:szCs w:val="24"/>
    </w:rPr>
  </w:style>
  <w:style w:type="character" w:styleId="Hyperlink">
    <w:name w:val="Hyperlink"/>
    <w:basedOn w:val="DefaultParagraphFont"/>
    <w:rsid w:val="00A20AC7"/>
    <w:rPr>
      <w:color w:val="0000FF"/>
      <w:u w:val="single"/>
    </w:rPr>
  </w:style>
  <w:style w:type="character" w:styleId="CommentReference">
    <w:name w:val="annotation reference"/>
    <w:basedOn w:val="DefaultParagraphFont"/>
    <w:semiHidden/>
    <w:rsid w:val="009636F8"/>
    <w:rPr>
      <w:sz w:val="16"/>
      <w:szCs w:val="16"/>
    </w:rPr>
  </w:style>
  <w:style w:type="paragraph" w:styleId="CommentText">
    <w:name w:val="annotation text"/>
    <w:basedOn w:val="Normal"/>
    <w:semiHidden/>
    <w:rsid w:val="009636F8"/>
    <w:rPr>
      <w:sz w:val="20"/>
      <w:szCs w:val="20"/>
    </w:rPr>
  </w:style>
  <w:style w:type="paragraph" w:styleId="CommentSubject">
    <w:name w:val="annotation subject"/>
    <w:basedOn w:val="CommentText"/>
    <w:next w:val="CommentText"/>
    <w:semiHidden/>
    <w:rsid w:val="009636F8"/>
    <w:rPr>
      <w:b/>
      <w:bCs/>
    </w:rPr>
  </w:style>
  <w:style w:type="character" w:styleId="FootnoteReference">
    <w:name w:val="footnote reference"/>
    <w:basedOn w:val="DefaultParagraphFont"/>
    <w:semiHidden/>
    <w:rsid w:val="009636F8"/>
    <w:rPr>
      <w:vertAlign w:val="superscript"/>
    </w:rPr>
  </w:style>
  <w:style w:type="table" w:styleId="TableGrid">
    <w:name w:val="Table Grid"/>
    <w:basedOn w:val="TableNormal"/>
    <w:rsid w:val="00B70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857D5"/>
    <w:rPr>
      <w:i/>
      <w:iCs/>
    </w:rPr>
  </w:style>
  <w:style w:type="character" w:customStyle="1" w:styleId="FooterChar">
    <w:name w:val="Footer Char"/>
    <w:basedOn w:val="DefaultParagraphFont"/>
    <w:link w:val="Footer"/>
    <w:uiPriority w:val="99"/>
    <w:rsid w:val="00EE6F06"/>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078862382">
      <w:bodyDiv w:val="1"/>
      <w:marLeft w:val="0"/>
      <w:marRight w:val="0"/>
      <w:marTop w:val="0"/>
      <w:marBottom w:val="0"/>
      <w:divBdr>
        <w:top w:val="none" w:sz="0" w:space="0" w:color="auto"/>
        <w:left w:val="none" w:sz="0" w:space="0" w:color="auto"/>
        <w:bottom w:val="none" w:sz="0" w:space="0" w:color="auto"/>
        <w:right w:val="none" w:sz="0" w:space="0" w:color="auto"/>
      </w:divBdr>
    </w:div>
    <w:div w:id="1751266462">
      <w:bodyDiv w:val="1"/>
      <w:marLeft w:val="0"/>
      <w:marRight w:val="0"/>
      <w:marTop w:val="0"/>
      <w:marBottom w:val="0"/>
      <w:divBdr>
        <w:top w:val="none" w:sz="0" w:space="0" w:color="auto"/>
        <w:left w:val="none" w:sz="0" w:space="0" w:color="auto"/>
        <w:bottom w:val="none" w:sz="0" w:space="0" w:color="auto"/>
        <w:right w:val="none" w:sz="0" w:space="0" w:color="auto"/>
      </w:divBdr>
    </w:div>
    <w:div w:id="18919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sdoj.gov/jmd/2012justification/"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oleObject" Target="embeddings/Microsoft_Office_Excel_97-2003_Worksheet2.xls"/><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Microsoft_Office_Excel_97-2003_Worksheet1.xls"/><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emf"/><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6D36-9396-463F-A689-D6FE3C06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2208</Words>
  <Characters>13669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DRAFT</vt:lpstr>
    </vt:vector>
  </TitlesOfParts>
  <Company>Department of Justice</Company>
  <LinksUpToDate>false</LinksUpToDate>
  <CharactersWithSpaces>15846</CharactersWithSpaces>
  <SharedDoc>false</SharedDoc>
  <HLinks>
    <vt:vector size="6" baseType="variant">
      <vt:variant>
        <vt:i4>3342461</vt:i4>
      </vt:variant>
      <vt:variant>
        <vt:i4>0</vt:i4>
      </vt:variant>
      <vt:variant>
        <vt:i4>0</vt:i4>
      </vt:variant>
      <vt:variant>
        <vt:i4>5</vt:i4>
      </vt:variant>
      <vt:variant>
        <vt:lpwstr>http://www.usdoj.gov/jmd/2012justification/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debjones</dc:creator>
  <cp:lastModifiedBy>jhlock</cp:lastModifiedBy>
  <cp:revision>4</cp:revision>
  <cp:lastPrinted>2011-02-07T19:21:00Z</cp:lastPrinted>
  <dcterms:created xsi:type="dcterms:W3CDTF">2011-02-09T19:25:00Z</dcterms:created>
  <dcterms:modified xsi:type="dcterms:W3CDTF">2011-02-09T19:55:00Z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